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984FA">
      <w:pPr>
        <w:pStyle w:val="4"/>
        <w:keepNext w:val="0"/>
        <w:keepLines w:val="0"/>
        <w:pageBreakBefore w:val="0"/>
        <w:widowControl/>
        <w:kinsoku/>
        <w:wordWrap/>
        <w:overflowPunct/>
        <w:topLinePunct w:val="0"/>
        <w:autoSpaceDE/>
        <w:autoSpaceDN/>
        <w:bidi w:val="0"/>
        <w:adjustRightInd/>
        <w:snapToGrid w:val="0"/>
        <w:spacing w:before="0" w:after="0" w:line="240" w:lineRule="auto"/>
        <w:jc w:val="center"/>
        <w:textAlignment w:val="auto"/>
        <w:rPr>
          <w:rFonts w:hint="eastAsia" w:ascii="方正公文小标宋" w:hAnsi="方正公文小标宋" w:eastAsia="方正公文小标宋" w:cs="方正公文小标宋"/>
          <w:b w:val="0"/>
          <w:bCs w:val="0"/>
          <w:lang w:val="en-US" w:eastAsia="zh-CN"/>
        </w:rPr>
      </w:pPr>
      <w:r>
        <w:rPr>
          <w:rFonts w:hint="eastAsia" w:ascii="方正公文小标宋" w:hAnsi="方正公文小标宋" w:eastAsia="方正公文小标宋" w:cs="方正公文小标宋"/>
          <w:b w:val="0"/>
          <w:bCs w:val="0"/>
          <w:lang w:val="en-US" w:eastAsia="zh-CN"/>
        </w:rPr>
        <w:t>舟山群岛新区检测研究公共服务平台</w:t>
      </w:r>
    </w:p>
    <w:p w14:paraId="52A23D54">
      <w:pPr>
        <w:pStyle w:val="4"/>
        <w:keepNext w:val="0"/>
        <w:keepLines w:val="0"/>
        <w:pageBreakBefore w:val="0"/>
        <w:widowControl/>
        <w:kinsoku/>
        <w:wordWrap/>
        <w:overflowPunct/>
        <w:topLinePunct w:val="0"/>
        <w:autoSpaceDE/>
        <w:autoSpaceDN/>
        <w:bidi w:val="0"/>
        <w:adjustRightInd/>
        <w:snapToGrid w:val="0"/>
        <w:spacing w:before="0" w:after="0" w:line="240" w:lineRule="auto"/>
        <w:jc w:val="center"/>
        <w:textAlignment w:val="auto"/>
        <w:rPr>
          <w:rFonts w:hint="eastAsia" w:ascii="方正公文小标宋" w:hAnsi="方正公文小标宋" w:eastAsia="方正公文小标宋" w:cs="方正公文小标宋"/>
          <w:b w:val="0"/>
          <w:bCs w:val="0"/>
          <w:lang w:val="en-US" w:eastAsia="zh-CN"/>
        </w:rPr>
      </w:pPr>
      <w:r>
        <w:rPr>
          <w:rFonts w:hint="eastAsia" w:ascii="方正公文小标宋" w:hAnsi="方正公文小标宋" w:eastAsia="方正公文小标宋" w:cs="方正公文小标宋"/>
          <w:b w:val="0"/>
          <w:bCs w:val="0"/>
          <w:lang w:val="en-US" w:eastAsia="zh-CN"/>
        </w:rPr>
        <w:t>UPS蓄电池</w:t>
      </w:r>
      <w:r>
        <w:rPr>
          <w:rFonts w:hint="eastAsia" w:ascii="方正公文小标宋" w:hAnsi="方正公文小标宋" w:eastAsia="方正公文小标宋" w:cs="方正公文小标宋"/>
          <w:b w:val="0"/>
          <w:bCs w:val="0"/>
          <w:lang w:eastAsia="zh-CN"/>
        </w:rPr>
        <w:t>采购需求</w:t>
      </w:r>
    </w:p>
    <w:p w14:paraId="3AB69095">
      <w:pPr>
        <w:pStyle w:val="6"/>
        <w:spacing w:before="0" w:after="0" w:line="360" w:lineRule="auto"/>
        <w:jc w:val="both"/>
        <w:rPr>
          <w:rFonts w:asciiTheme="minorEastAsia" w:hAnsiTheme="minorEastAsia" w:eastAsiaTheme="minorEastAsia"/>
          <w:sz w:val="24"/>
          <w:szCs w:val="24"/>
        </w:rPr>
      </w:pPr>
    </w:p>
    <w:p w14:paraId="2A9046E0">
      <w:pPr>
        <w:pStyle w:val="6"/>
        <w:keepNext w:val="0"/>
        <w:keepLines w:val="0"/>
        <w:pageBreakBefore w:val="0"/>
        <w:widowControl w:val="0"/>
        <w:kinsoku/>
        <w:wordWrap/>
        <w:overflowPunct/>
        <w:topLinePunct w:val="0"/>
        <w:autoSpaceDE/>
        <w:autoSpaceDN/>
        <w:bidi w:val="0"/>
        <w:adjustRightInd/>
        <w:snapToGrid w:val="0"/>
        <w:spacing w:before="0" w:after="0" w:line="360" w:lineRule="auto"/>
        <w:jc w:val="both"/>
        <w:textAlignment w:val="auto"/>
        <w:rPr>
          <w:rFonts w:hint="eastAsia" w:ascii="黑体" w:hAnsi="黑体" w:eastAsia="黑体" w:cs="黑体"/>
          <w:sz w:val="28"/>
          <w:szCs w:val="28"/>
        </w:rPr>
      </w:pPr>
      <w:r>
        <w:rPr>
          <w:rFonts w:hint="eastAsia" w:ascii="黑体" w:hAnsi="黑体" w:eastAsia="黑体" w:cs="黑体"/>
          <w:sz w:val="28"/>
          <w:szCs w:val="28"/>
          <w:lang w:eastAsia="zh-CN"/>
        </w:rPr>
        <w:t>一</w:t>
      </w:r>
      <w:r>
        <w:rPr>
          <w:rFonts w:hint="eastAsia" w:ascii="黑体" w:hAnsi="黑体" w:eastAsia="黑体" w:cs="黑体"/>
          <w:sz w:val="28"/>
          <w:szCs w:val="28"/>
        </w:rPr>
        <w:t>、项目概况与</w:t>
      </w:r>
      <w:r>
        <w:rPr>
          <w:rFonts w:hint="eastAsia" w:ascii="黑体" w:hAnsi="黑体" w:eastAsia="黑体" w:cs="黑体"/>
          <w:sz w:val="28"/>
          <w:szCs w:val="28"/>
          <w:lang w:eastAsia="zh-CN"/>
        </w:rPr>
        <w:t>采购</w:t>
      </w:r>
      <w:r>
        <w:rPr>
          <w:rFonts w:hint="eastAsia" w:ascii="黑体" w:hAnsi="黑体" w:eastAsia="黑体" w:cs="黑体"/>
          <w:sz w:val="28"/>
          <w:szCs w:val="28"/>
        </w:rPr>
        <w:t>范围</w:t>
      </w:r>
    </w:p>
    <w:p w14:paraId="6F13B908">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lang w:val="en-US"/>
        </w:rPr>
      </w:pPr>
      <w:r>
        <w:rPr>
          <w:rFonts w:hint="default" w:ascii="Times New Roman" w:hAnsi="Times New Roman" w:cs="Times New Roman" w:eastAsiaTheme="minorEastAsia"/>
          <w:sz w:val="28"/>
          <w:szCs w:val="28"/>
          <w:lang w:val="en-US" w:eastAsia="zh-CN" w:bidi="ar-SA"/>
        </w:rPr>
        <w:t>1.</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项目名称：舟山群岛新区检测研究公共服务平台</w:t>
      </w:r>
      <w:r>
        <w:rPr>
          <w:rFonts w:hint="eastAsia" w:ascii="Times New Roman" w:hAnsi="Times New Roman" w:cs="Times New Roman" w:eastAsiaTheme="minorEastAsia"/>
          <w:sz w:val="28"/>
          <w:szCs w:val="28"/>
          <w:lang w:val="en-US" w:eastAsia="zh-CN"/>
        </w:rPr>
        <w:t>UPS蓄电池采购项目</w:t>
      </w:r>
    </w:p>
    <w:p w14:paraId="0C618F1C">
      <w:pPr>
        <w:pStyle w:val="24"/>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eastAsiaTheme="minorEastAsia"/>
          <w:sz w:val="28"/>
          <w:szCs w:val="28"/>
          <w:lang w:val="en-US" w:eastAsia="zh-CN" w:bidi="ar-SA"/>
        </w:rPr>
        <w:t>2.</w:t>
      </w:r>
      <w:r>
        <w:rPr>
          <w:rFonts w:hint="eastAsia" w:cs="Times New Roman"/>
          <w:sz w:val="28"/>
          <w:szCs w:val="28"/>
          <w:lang w:val="en-US" w:eastAsia="zh-CN" w:bidi="ar-SA"/>
        </w:rPr>
        <w:t xml:space="preserve"> </w:t>
      </w:r>
      <w:r>
        <w:rPr>
          <w:rFonts w:hint="default" w:ascii="Times New Roman" w:hAnsi="Times New Roman" w:cs="Times New Roman"/>
          <w:sz w:val="28"/>
          <w:szCs w:val="28"/>
        </w:rPr>
        <w:t>项目地点：定海区北蝉新港开发区弘禄大道49号</w:t>
      </w:r>
    </w:p>
    <w:p w14:paraId="5C9E2EB0">
      <w:pPr>
        <w:pStyle w:val="24"/>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560" w:firstLineChars="200"/>
        <w:jc w:val="both"/>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bidi="ar-SA"/>
        </w:rPr>
        <w:t>3.</w:t>
      </w:r>
      <w:r>
        <w:rPr>
          <w:rFonts w:hint="eastAsia" w:cs="Times New Roman"/>
          <w:sz w:val="28"/>
          <w:szCs w:val="28"/>
          <w:lang w:val="en-US" w:eastAsia="zh-CN" w:bidi="ar-SA"/>
        </w:rPr>
        <w:t xml:space="preserve"> </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lang w:eastAsia="zh-CN"/>
        </w:rPr>
        <w:t>采购需求</w:t>
      </w:r>
      <w:r>
        <w:rPr>
          <w:rFonts w:hint="default" w:ascii="Times New Roman" w:hAnsi="Times New Roman" w:cs="Times New Roman" w:eastAsiaTheme="minorEastAsia"/>
          <w:sz w:val="28"/>
          <w:szCs w:val="28"/>
        </w:rPr>
        <w:t>：</w:t>
      </w:r>
    </w:p>
    <w:p w14:paraId="67D616AA">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bookmarkStart w:id="0" w:name="OLE_LINK4"/>
      <w:r>
        <w:rPr>
          <w:rFonts w:hint="default" w:ascii="Times New Roman" w:hAnsi="Times New Roman" w:cs="Times New Roman" w:eastAsiaTheme="minorEastAsia"/>
          <w:sz w:val="28"/>
          <w:szCs w:val="28"/>
        </w:rPr>
        <w:t>（</w:t>
      </w:r>
      <w:r>
        <w:rPr>
          <w:rFonts w:hint="default" w:ascii="Times New Roman" w:hAnsi="Times New Roman" w:cs="Times New Roman" w:eastAsiaTheme="minorEastAsia"/>
          <w:sz w:val="28"/>
          <w:szCs w:val="28"/>
          <w:lang w:val="en-US" w:eastAsia="zh-CN"/>
        </w:rPr>
        <w:t>1</w:t>
      </w:r>
      <w:r>
        <w:rPr>
          <w:rFonts w:hint="default" w:ascii="Times New Roman" w:hAnsi="Times New Roman" w:cs="Times New Roman" w:eastAsiaTheme="minorEastAsia"/>
          <w:sz w:val="28"/>
          <w:szCs w:val="28"/>
        </w:rPr>
        <w:t>）</w:t>
      </w:r>
      <w:r>
        <w:rPr>
          <w:rFonts w:hint="eastAsia" w:ascii="Times New Roman" w:hAnsi="Times New Roman" w:cs="Times New Roman" w:eastAsiaTheme="minorEastAsia"/>
          <w:sz w:val="28"/>
          <w:szCs w:val="28"/>
          <w:lang w:eastAsia="zh-CN"/>
        </w:rPr>
        <w:t>对平台实验大楼机房及消控设施原有</w:t>
      </w:r>
      <w:r>
        <w:rPr>
          <w:rFonts w:hint="eastAsia" w:ascii="Times New Roman" w:hAnsi="Times New Roman" w:cs="Times New Roman" w:eastAsiaTheme="minorEastAsia"/>
          <w:sz w:val="28"/>
          <w:szCs w:val="28"/>
          <w:lang w:val="en-US" w:eastAsia="zh-CN"/>
        </w:rPr>
        <w:t>130节UPS蓄电池进行更新，蓄电池规格为</w:t>
      </w:r>
      <w:r>
        <w:rPr>
          <w:rFonts w:hint="eastAsia" w:ascii="Times New Roman" w:hAnsi="Times New Roman" w:cs="Times New Roman" w:eastAsiaTheme="minorEastAsia"/>
          <w:sz w:val="28"/>
          <w:szCs w:val="28"/>
          <w:lang w:eastAsia="zh-CN"/>
        </w:rPr>
        <w:t>12V</w:t>
      </w:r>
      <w:r>
        <w:rPr>
          <w:rFonts w:hint="eastAsia" w:ascii="Times New Roman" w:hAnsi="Times New Roman" w:cs="Times New Roman" w:eastAsiaTheme="minorEastAsia"/>
          <w:sz w:val="28"/>
          <w:szCs w:val="28"/>
          <w:lang w:val="en-US" w:eastAsia="zh-CN"/>
        </w:rPr>
        <w:t xml:space="preserve"> </w:t>
      </w:r>
      <w:r>
        <w:rPr>
          <w:rFonts w:hint="eastAsia" w:ascii="Times New Roman" w:hAnsi="Times New Roman" w:cs="Times New Roman" w:eastAsiaTheme="minorEastAsia"/>
          <w:sz w:val="28"/>
          <w:szCs w:val="28"/>
          <w:lang w:eastAsia="zh-CN"/>
        </w:rPr>
        <w:t>100AH。其中，一楼消控设备需更新</w:t>
      </w:r>
      <w:r>
        <w:rPr>
          <w:rFonts w:hint="eastAsia" w:ascii="Times New Roman" w:hAnsi="Times New Roman" w:cs="Times New Roman" w:eastAsiaTheme="minorEastAsia"/>
          <w:sz w:val="28"/>
          <w:szCs w:val="28"/>
          <w:lang w:val="en-US" w:eastAsia="zh-CN"/>
        </w:rPr>
        <w:t>40节，二楼机房需更新90节，投标人需对原设备电池进行拆除、搬运，对新电池进行安装和调试，确保设备运行正常。</w:t>
      </w:r>
    </w:p>
    <w:p w14:paraId="1F9E4EDE">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（2）投标人需对更新后的蓄电池提供本地化专业巡检团队维护服务，维护期5年，维护期每季度提供巡检维护服务，维护标准如下：</w:t>
      </w:r>
    </w:p>
    <w:p w14:paraId="5403CA1F">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2" w:firstLineChars="200"/>
        <w:jc w:val="both"/>
        <w:textAlignment w:val="auto"/>
        <w:rPr>
          <w:rFonts w:hint="eastAsia" w:ascii="Times New Roman" w:hAnsi="Times New Roman" w:cs="Times New Roman" w:eastAsiaTheme="minorEastAsia"/>
          <w:b/>
          <w:bCs/>
          <w:sz w:val="28"/>
          <w:szCs w:val="28"/>
          <w:lang w:val="en-US" w:eastAsia="zh-CN"/>
        </w:rPr>
      </w:pPr>
      <w:r>
        <w:rPr>
          <w:rFonts w:hint="eastAsia" w:ascii="Times New Roman" w:hAnsi="Times New Roman" w:cs="Times New Roman" w:eastAsiaTheme="minorEastAsia"/>
          <w:b/>
          <w:bCs/>
          <w:sz w:val="28"/>
          <w:szCs w:val="28"/>
          <w:lang w:val="en-US" w:eastAsia="zh-CN"/>
        </w:rPr>
        <w:t>① UPS及蓄电池测试</w:t>
      </w:r>
    </w:p>
    <w:p w14:paraId="6CE00688">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1）测试周期及测试内容： 每年测试一次，包括1次电池的放电测试；</w:t>
      </w:r>
    </w:p>
    <w:p w14:paraId="3B509BD5">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2）UPS测试内容：停电转电池逆变切换功能验证、来电转市电逆变切换功能验证、旁路开关功能验证、设备内外部积尘清洁；</w:t>
      </w:r>
    </w:p>
    <w:p w14:paraId="228F9EF0">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3）蓄电池测试内容：蓄电池内阻、电压、容量带载放电测试。</w:t>
      </w:r>
    </w:p>
    <w:p w14:paraId="6E3B2EA6">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2" w:firstLineChars="200"/>
        <w:jc w:val="both"/>
        <w:textAlignment w:val="auto"/>
        <w:rPr>
          <w:rFonts w:hint="eastAsia" w:ascii="Times New Roman" w:hAnsi="Times New Roman" w:cs="Times New Roman" w:eastAsiaTheme="minorEastAsia"/>
          <w:b/>
          <w:bCs/>
          <w:sz w:val="28"/>
          <w:szCs w:val="28"/>
          <w:lang w:val="en-US" w:eastAsia="zh-CN"/>
        </w:rPr>
      </w:pPr>
      <w:r>
        <w:rPr>
          <w:rFonts w:hint="eastAsia" w:ascii="Times New Roman" w:hAnsi="Times New Roman" w:cs="Times New Roman" w:eastAsiaTheme="minorEastAsia"/>
          <w:b/>
          <w:bCs/>
          <w:sz w:val="28"/>
          <w:szCs w:val="28"/>
          <w:lang w:val="en-US" w:eastAsia="zh-CN"/>
        </w:rPr>
        <w:t>②UPS及蓄电池日常维护</w:t>
      </w:r>
    </w:p>
    <w:p w14:paraId="1217F983">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1）日常维护每季度1次；</w:t>
      </w:r>
    </w:p>
    <w:p w14:paraId="1FC895CB">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2）维护内容：</w:t>
      </w:r>
    </w:p>
    <w:p w14:paraId="0B26834C">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（a）接地检查、交流配电检查：电力线路无腐蚀、无打火现象，市电交流电压、频率在正常范围内，仪表显示值与实际值误差小于5％，计量装置工作正常、电表箱无锈蚀；</w:t>
      </w:r>
    </w:p>
    <w:p w14:paraId="75158D1B">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（b） UPS设备检查： 设备卫生清理。风扇无异常，系统负载率正常，各种自动、告警和保护功能均正常；</w:t>
      </w:r>
    </w:p>
    <w:p w14:paraId="15E00A0B">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（c）蓄电池检查：电池壳体无变形、破裂、漏酸等异常，极柱、连接条无氧化腐蚀，紧固无松动，单体电压测试，单体间的压差应小于120mv，极柱及外壳等点位测量温升有无异常。</w:t>
      </w:r>
    </w:p>
    <w:p w14:paraId="048C7F6B">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4. 蓄电池质保期≥5年，其间出现任何电池质量问题，应无条件进行更换。</w:t>
      </w:r>
    </w:p>
    <w:p w14:paraId="5CDAABCA">
      <w:pPr>
        <w:keepNext w:val="0"/>
        <w:keepLines w:val="0"/>
        <w:pageBreakBefore w:val="0"/>
        <w:widowControl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cs="Times New Roman" w:eastAsiaTheme="minorEastAsia"/>
          <w:sz w:val="28"/>
          <w:szCs w:val="28"/>
          <w:lang w:val="en-US" w:eastAsia="zh-CN" w:bidi="ar-SA"/>
        </w:rPr>
      </w:pPr>
      <w:r>
        <w:rPr>
          <w:rFonts w:hint="eastAsia" w:cs="Times New Roman"/>
          <w:sz w:val="28"/>
          <w:szCs w:val="28"/>
          <w:lang w:val="en-US" w:eastAsia="zh-CN" w:bidi="ar-SA"/>
        </w:rPr>
        <w:t xml:space="preserve">5. </w:t>
      </w:r>
      <w:r>
        <w:rPr>
          <w:rFonts w:hint="eastAsia" w:ascii="Times New Roman" w:hAnsi="Times New Roman" w:cs="Times New Roman" w:eastAsiaTheme="minorEastAsia"/>
          <w:sz w:val="28"/>
          <w:szCs w:val="28"/>
          <w:lang w:val="en-US" w:eastAsia="zh-CN" w:bidi="ar-SA"/>
        </w:rPr>
        <w:t>最高限价（元）：1</w:t>
      </w:r>
      <w:r>
        <w:rPr>
          <w:rFonts w:hint="eastAsia" w:cs="Times New Roman"/>
          <w:sz w:val="28"/>
          <w:szCs w:val="28"/>
          <w:lang w:val="en-US" w:eastAsia="zh-CN" w:bidi="ar-SA"/>
        </w:rPr>
        <w:t>2</w:t>
      </w:r>
      <w:r>
        <w:rPr>
          <w:rFonts w:hint="eastAsia" w:ascii="Times New Roman" w:hAnsi="Times New Roman" w:cs="Times New Roman" w:eastAsiaTheme="minorEastAsia"/>
          <w:sz w:val="28"/>
          <w:szCs w:val="28"/>
          <w:lang w:val="en-US" w:eastAsia="zh-CN" w:bidi="ar-SA"/>
        </w:rPr>
        <w:t>0000</w:t>
      </w:r>
    </w:p>
    <w:p w14:paraId="79785B27">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lang w:val="en-US" w:eastAsia="zh-CN"/>
        </w:rPr>
      </w:pPr>
    </w:p>
    <w:bookmarkEnd w:id="0"/>
    <w:p w14:paraId="4861756D">
      <w:pPr>
        <w:pStyle w:val="6"/>
        <w:keepNext w:val="0"/>
        <w:keepLines w:val="0"/>
        <w:pageBreakBefore w:val="0"/>
        <w:widowControl w:val="0"/>
        <w:kinsoku/>
        <w:wordWrap/>
        <w:overflowPunct/>
        <w:topLinePunct w:val="0"/>
        <w:autoSpaceDE/>
        <w:autoSpaceDN/>
        <w:bidi w:val="0"/>
        <w:adjustRightInd/>
        <w:snapToGrid w:val="0"/>
        <w:spacing w:before="0" w:after="0" w:line="360" w:lineRule="auto"/>
        <w:jc w:val="both"/>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二、资格要求</w:t>
      </w:r>
    </w:p>
    <w:p w14:paraId="4738957B">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bidi="ar-SA"/>
        </w:rPr>
        <w:t>1.</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法人资格：投标人</w:t>
      </w:r>
      <w:r>
        <w:rPr>
          <w:rFonts w:hint="eastAsia" w:ascii="Times New Roman" w:hAnsi="Times New Roman" w:cs="Times New Roman" w:eastAsiaTheme="minorEastAsia"/>
          <w:sz w:val="28"/>
          <w:szCs w:val="28"/>
          <w:lang w:eastAsia="zh-CN"/>
        </w:rPr>
        <w:t>须在中华人民共和国</w:t>
      </w:r>
      <w:r>
        <w:rPr>
          <w:rFonts w:hint="default" w:ascii="Times New Roman" w:hAnsi="Times New Roman" w:cs="Times New Roman" w:eastAsiaTheme="minorEastAsia"/>
          <w:sz w:val="28"/>
          <w:szCs w:val="28"/>
        </w:rPr>
        <w:t>境内注册，具有独立法人资格的企业或其他组织，持有有效的营业执照或事业单位法人证书。</w:t>
      </w:r>
    </w:p>
    <w:p w14:paraId="013A3C8E">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color w:val="auto"/>
          <w:sz w:val="28"/>
          <w:szCs w:val="28"/>
          <w:highlight w:val="none"/>
        </w:rPr>
      </w:pPr>
      <w:r>
        <w:rPr>
          <w:rFonts w:hint="default" w:ascii="Times New Roman" w:hAnsi="Times New Roman" w:cs="Times New Roman" w:eastAsiaTheme="minorEastAsia"/>
          <w:sz w:val="28"/>
          <w:szCs w:val="28"/>
          <w:lang w:val="en-US" w:eastAsia="zh-CN" w:bidi="ar-SA"/>
        </w:rPr>
        <w:t>2.</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lang w:val="en-US" w:eastAsia="zh-CN" w:bidi="ar-SA"/>
        </w:rPr>
        <w:t>业绩要求：</w:t>
      </w:r>
      <w:r>
        <w:rPr>
          <w:rFonts w:hint="eastAsia" w:ascii="Times New Roman" w:hAnsi="Times New Roman" w:cs="Times New Roman" w:eastAsiaTheme="minorEastAsia"/>
          <w:sz w:val="28"/>
          <w:szCs w:val="28"/>
          <w:lang w:val="en-US" w:eastAsia="zh-CN" w:bidi="ar-SA"/>
        </w:rPr>
        <w:t>所投品牌同型号产品</w:t>
      </w:r>
      <w:r>
        <w:rPr>
          <w:rFonts w:hint="default" w:ascii="Times New Roman" w:hAnsi="Times New Roman" w:cs="Times New Roman" w:eastAsiaTheme="minorEastAsia"/>
          <w:sz w:val="28"/>
          <w:szCs w:val="28"/>
          <w:lang w:val="en-US" w:eastAsia="zh-CN" w:bidi="ar-SA"/>
        </w:rPr>
        <w:t>2024年</w:t>
      </w:r>
      <w:r>
        <w:rPr>
          <w:rFonts w:hint="eastAsia" w:ascii="Times New Roman" w:hAnsi="Times New Roman" w:cs="Times New Roman" w:eastAsiaTheme="minorEastAsia"/>
          <w:sz w:val="28"/>
          <w:szCs w:val="28"/>
          <w:lang w:val="en-US" w:eastAsia="zh-CN" w:bidi="ar-SA"/>
        </w:rPr>
        <w:t>9</w:t>
      </w:r>
      <w:r>
        <w:rPr>
          <w:rFonts w:hint="default" w:ascii="Times New Roman" w:hAnsi="Times New Roman" w:cs="Times New Roman" w:eastAsiaTheme="minorEastAsia"/>
          <w:sz w:val="28"/>
          <w:szCs w:val="28"/>
          <w:lang w:val="en-US" w:eastAsia="zh-CN" w:bidi="ar-SA"/>
        </w:rPr>
        <w:t>月1日至今，</w:t>
      </w:r>
      <w:r>
        <w:rPr>
          <w:rFonts w:hint="eastAsia" w:ascii="Times New Roman" w:hAnsi="Times New Roman" w:cs="Times New Roman" w:eastAsiaTheme="minorEastAsia"/>
          <w:sz w:val="28"/>
          <w:szCs w:val="28"/>
          <w:lang w:val="en-US" w:eastAsia="zh-CN" w:bidi="ar-SA"/>
        </w:rPr>
        <w:t>应至少具有1项关于UPS类</w:t>
      </w:r>
      <w:r>
        <w:rPr>
          <w:rFonts w:hint="eastAsia" w:ascii="Times New Roman" w:hAnsi="Times New Roman" w:cs="Times New Roman" w:eastAsiaTheme="minorEastAsia"/>
          <w:color w:val="auto"/>
          <w:sz w:val="28"/>
          <w:szCs w:val="28"/>
          <w:highlight w:val="none"/>
          <w:lang w:val="en-US" w:eastAsia="zh-CN"/>
        </w:rPr>
        <w:t>设施设备的销售或维护业绩</w:t>
      </w:r>
      <w:r>
        <w:rPr>
          <w:rFonts w:hint="default" w:ascii="Times New Roman" w:hAnsi="Times New Roman" w:cs="Times New Roman" w:eastAsiaTheme="minorEastAsia"/>
          <w:color w:val="auto"/>
          <w:sz w:val="28"/>
          <w:szCs w:val="28"/>
          <w:highlight w:val="none"/>
        </w:rPr>
        <w:t>。</w:t>
      </w:r>
    </w:p>
    <w:p w14:paraId="110888DF">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bidi="ar-SA"/>
        </w:rPr>
        <w:t>4.</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信誉要求：投标人在近 3 年内未发生重大安全事故、重大质量事故，未被列入国家企业信用信息公示系统严重违法失信企业名单、信用中国网站失信被执行人名单，未被相关行政主管部门暂停投标资格或取消投标资格（需提供相应查询截图及承诺书）。</w:t>
      </w:r>
    </w:p>
    <w:p w14:paraId="680D3CB3">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bidi="ar-SA"/>
        </w:rPr>
        <w:t>5.</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其他要求：本项目不接受联合体投标，不允许转包、违法分包。</w:t>
      </w:r>
    </w:p>
    <w:p w14:paraId="28993B69">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rPr>
      </w:pPr>
    </w:p>
    <w:p w14:paraId="01886D7F">
      <w:pPr>
        <w:pStyle w:val="6"/>
        <w:keepNext w:val="0"/>
        <w:keepLines w:val="0"/>
        <w:pageBreakBefore w:val="0"/>
        <w:widowControl w:val="0"/>
        <w:kinsoku/>
        <w:wordWrap/>
        <w:overflowPunct/>
        <w:topLinePunct w:val="0"/>
        <w:autoSpaceDE/>
        <w:autoSpaceDN/>
        <w:bidi w:val="0"/>
        <w:adjustRightInd/>
        <w:snapToGrid w:val="0"/>
        <w:spacing w:before="0" w:after="0" w:line="360" w:lineRule="auto"/>
        <w:jc w:val="both"/>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三、</w:t>
      </w:r>
      <w:r>
        <w:rPr>
          <w:rFonts w:hint="eastAsia" w:ascii="黑体" w:hAnsi="黑体" w:eastAsia="黑体" w:cs="黑体"/>
          <w:sz w:val="28"/>
          <w:szCs w:val="28"/>
          <w:lang w:eastAsia="zh-CN"/>
        </w:rPr>
        <w:t>服务</w:t>
      </w:r>
      <w:r>
        <w:rPr>
          <w:rFonts w:hint="default" w:ascii="黑体" w:hAnsi="黑体" w:eastAsia="黑体" w:cs="黑体"/>
          <w:sz w:val="28"/>
          <w:szCs w:val="28"/>
          <w:lang w:eastAsia="zh-CN"/>
        </w:rPr>
        <w:t>人员资质与配置要求</w:t>
      </w:r>
    </w:p>
    <w:p w14:paraId="60CD0255">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rPr>
      </w:pPr>
      <w:r>
        <w:rPr>
          <w:rFonts w:hint="eastAsia" w:ascii="Times New Roman" w:hAnsi="Times New Roman" w:cs="Times New Roman" w:eastAsiaTheme="minorEastAsia"/>
          <w:sz w:val="28"/>
          <w:szCs w:val="28"/>
          <w:lang w:val="en-US" w:eastAsia="zh-CN" w:bidi="ar-SA"/>
        </w:rPr>
        <w:t xml:space="preserve">1.  </w:t>
      </w:r>
      <w:r>
        <w:rPr>
          <w:rFonts w:hint="default" w:ascii="Times New Roman" w:hAnsi="Times New Roman" w:cs="Times New Roman" w:eastAsiaTheme="minorEastAsia"/>
          <w:sz w:val="28"/>
          <w:szCs w:val="28"/>
        </w:rPr>
        <w:t>项目</w:t>
      </w:r>
      <w:r>
        <w:rPr>
          <w:rFonts w:hint="default" w:ascii="Times New Roman" w:hAnsi="Times New Roman" w:cs="Times New Roman" w:eastAsiaTheme="minorEastAsia"/>
          <w:sz w:val="28"/>
          <w:szCs w:val="28"/>
          <w:lang w:val="en-US" w:eastAsia="zh-CN"/>
        </w:rPr>
        <w:t>负责</w:t>
      </w:r>
      <w:r>
        <w:rPr>
          <w:rFonts w:hint="default" w:ascii="Times New Roman" w:hAnsi="Times New Roman" w:cs="Times New Roman" w:eastAsiaTheme="minorEastAsia"/>
          <w:sz w:val="28"/>
          <w:szCs w:val="28"/>
        </w:rPr>
        <w:t>人（1名）：全面负责本项目的管理与协调。</w:t>
      </w:r>
    </w:p>
    <w:p w14:paraId="05885EA7">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color w:val="FF0000"/>
          <w:sz w:val="28"/>
          <w:szCs w:val="28"/>
        </w:rPr>
      </w:pPr>
      <w:r>
        <w:rPr>
          <w:rFonts w:hint="eastAsia" w:ascii="Times New Roman" w:hAnsi="Times New Roman" w:cs="Times New Roman" w:eastAsiaTheme="minorEastAsia"/>
          <w:color w:val="FF0000"/>
          <w:sz w:val="28"/>
          <w:szCs w:val="28"/>
          <w:lang w:val="en-US" w:eastAsia="zh-CN" w:bidi="ar-SA"/>
        </w:rPr>
        <w:t xml:space="preserve">2. </w:t>
      </w:r>
      <w:r>
        <w:rPr>
          <w:rFonts w:hint="default" w:ascii="Times New Roman" w:hAnsi="Times New Roman" w:cs="Times New Roman" w:eastAsiaTheme="minorEastAsia"/>
          <w:color w:val="FF0000"/>
          <w:sz w:val="28"/>
          <w:szCs w:val="28"/>
          <w:lang w:val="en-US" w:eastAsia="zh-CN"/>
        </w:rPr>
        <w:t>运维人员</w:t>
      </w:r>
      <w:r>
        <w:rPr>
          <w:rFonts w:hint="default" w:ascii="Times New Roman" w:hAnsi="Times New Roman" w:cs="Times New Roman" w:eastAsiaTheme="minorEastAsia"/>
          <w:color w:val="FF0000"/>
          <w:sz w:val="28"/>
          <w:szCs w:val="28"/>
        </w:rPr>
        <w:t>（</w:t>
      </w:r>
      <w:r>
        <w:rPr>
          <w:rFonts w:hint="eastAsia" w:ascii="Times New Roman" w:hAnsi="Times New Roman" w:cs="Times New Roman" w:eastAsiaTheme="minorEastAsia"/>
          <w:color w:val="FF0000"/>
          <w:sz w:val="28"/>
          <w:szCs w:val="28"/>
          <w:lang w:val="en-US" w:eastAsia="zh-CN"/>
        </w:rPr>
        <w:t>1</w:t>
      </w:r>
      <w:r>
        <w:rPr>
          <w:rFonts w:hint="default" w:ascii="Times New Roman" w:hAnsi="Times New Roman" w:cs="Times New Roman" w:eastAsiaTheme="minorEastAsia"/>
          <w:color w:val="FF0000"/>
          <w:sz w:val="28"/>
          <w:szCs w:val="28"/>
        </w:rPr>
        <w:t>名）：具备独立操作和处理复杂情况的能力。</w:t>
      </w:r>
    </w:p>
    <w:p w14:paraId="35A2F4FD">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highlight w:val="none"/>
          <w:lang w:val="en-US" w:eastAsia="zh-CN"/>
        </w:rPr>
      </w:pPr>
    </w:p>
    <w:p w14:paraId="2025AC20">
      <w:pPr>
        <w:pStyle w:val="6"/>
        <w:keepNext w:val="0"/>
        <w:keepLines w:val="0"/>
        <w:pageBreakBefore w:val="0"/>
        <w:widowControl w:val="0"/>
        <w:kinsoku/>
        <w:wordWrap/>
        <w:overflowPunct/>
        <w:topLinePunct w:val="0"/>
        <w:autoSpaceDE/>
        <w:autoSpaceDN/>
        <w:bidi w:val="0"/>
        <w:adjustRightInd/>
        <w:snapToGrid w:val="0"/>
        <w:spacing w:before="0" w:after="0" w:line="360" w:lineRule="auto"/>
        <w:jc w:val="both"/>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四、投标文件的递交及开标</w:t>
      </w:r>
    </w:p>
    <w:p w14:paraId="3E0E0680">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bidi="ar-SA"/>
        </w:rPr>
        <w:t>1.</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投标文件递交截止时间：</w:t>
      </w:r>
      <w:r>
        <w:rPr>
          <w:rFonts w:hint="default" w:ascii="Times New Roman" w:hAnsi="Times New Roman" w:cs="Times New Roman" w:eastAsiaTheme="minorEastAsia"/>
          <w:sz w:val="28"/>
          <w:szCs w:val="28"/>
          <w:lang w:val="en-US" w:eastAsia="zh-CN"/>
        </w:rPr>
        <w:t>2026年</w:t>
      </w:r>
      <w:r>
        <w:rPr>
          <w:rFonts w:hint="eastAsia" w:ascii="Times New Roman" w:hAnsi="Times New Roman" w:cs="Times New Roman" w:eastAsiaTheme="minorEastAsia"/>
          <w:sz w:val="28"/>
          <w:szCs w:val="28"/>
          <w:lang w:val="en-US" w:eastAsia="zh-CN"/>
        </w:rPr>
        <w:t>9</w:t>
      </w:r>
      <w:r>
        <w:rPr>
          <w:rFonts w:hint="default" w:ascii="Times New Roman" w:hAnsi="Times New Roman" w:cs="Times New Roman" w:eastAsiaTheme="minorEastAsia"/>
          <w:sz w:val="28"/>
          <w:szCs w:val="28"/>
          <w:lang w:val="en-US" w:eastAsia="zh-CN"/>
        </w:rPr>
        <w:t>月</w:t>
      </w:r>
      <w:r>
        <w:rPr>
          <w:rFonts w:hint="eastAsia" w:ascii="Times New Roman" w:hAnsi="Times New Roman" w:cs="Times New Roman" w:eastAsiaTheme="minorEastAsia"/>
          <w:sz w:val="28"/>
          <w:szCs w:val="28"/>
          <w:lang w:val="en-US" w:eastAsia="zh-CN"/>
        </w:rPr>
        <w:t>24</w:t>
      </w:r>
      <w:r>
        <w:rPr>
          <w:rFonts w:hint="default" w:ascii="Times New Roman" w:hAnsi="Times New Roman" w:cs="Times New Roman" w:eastAsiaTheme="minorEastAsia"/>
          <w:sz w:val="28"/>
          <w:szCs w:val="28"/>
          <w:lang w:val="en-US" w:eastAsia="zh-CN"/>
        </w:rPr>
        <w:t>日14:00</w:t>
      </w:r>
      <w:r>
        <w:rPr>
          <w:rFonts w:hint="default" w:ascii="Times New Roman" w:hAnsi="Times New Roman" w:cs="Times New Roman" w:eastAsiaTheme="minorEastAsia"/>
          <w:sz w:val="28"/>
          <w:szCs w:val="28"/>
        </w:rPr>
        <w:t>。</w:t>
      </w:r>
    </w:p>
    <w:p w14:paraId="41BFA852">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bidi="ar-SA"/>
        </w:rPr>
        <w:t>2.</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投标文件递交</w:t>
      </w:r>
      <w:r>
        <w:rPr>
          <w:rFonts w:hint="default" w:ascii="Times New Roman" w:hAnsi="Times New Roman" w:cs="Times New Roman" w:eastAsiaTheme="minorEastAsia"/>
          <w:sz w:val="28"/>
          <w:szCs w:val="28"/>
          <w:lang w:eastAsia="zh-CN"/>
        </w:rPr>
        <w:t>地点</w:t>
      </w:r>
      <w:r>
        <w:rPr>
          <w:rFonts w:hint="default" w:ascii="Times New Roman" w:hAnsi="Times New Roman" w:cs="Times New Roman" w:eastAsiaTheme="minorEastAsia"/>
          <w:sz w:val="28"/>
          <w:szCs w:val="28"/>
        </w:rPr>
        <w:t>：</w:t>
      </w:r>
      <w:r>
        <w:rPr>
          <w:rFonts w:hint="default" w:ascii="Times New Roman" w:hAnsi="Times New Roman" w:cs="Times New Roman" w:eastAsiaTheme="minorEastAsia"/>
          <w:sz w:val="28"/>
          <w:szCs w:val="28"/>
          <w:lang w:eastAsia="zh-CN"/>
        </w:rPr>
        <w:t>舟山市定海北蝉新港开发弘禄大道</w:t>
      </w:r>
      <w:r>
        <w:rPr>
          <w:rFonts w:hint="default" w:ascii="Times New Roman" w:hAnsi="Times New Roman" w:cs="Times New Roman" w:eastAsiaTheme="minorEastAsia"/>
          <w:sz w:val="28"/>
          <w:szCs w:val="28"/>
          <w:lang w:val="en-US" w:eastAsia="zh-CN"/>
        </w:rPr>
        <w:t>49号30</w:t>
      </w:r>
      <w:r>
        <w:rPr>
          <w:rFonts w:hint="eastAsia" w:ascii="Times New Roman" w:hAnsi="Times New Roman" w:cs="Times New Roman" w:eastAsiaTheme="minorEastAsia"/>
          <w:sz w:val="28"/>
          <w:szCs w:val="28"/>
          <w:lang w:val="en-US" w:eastAsia="zh-CN"/>
        </w:rPr>
        <w:t>6</w:t>
      </w:r>
      <w:r>
        <w:rPr>
          <w:rFonts w:hint="default" w:ascii="Times New Roman" w:hAnsi="Times New Roman" w:cs="Times New Roman" w:eastAsiaTheme="minorEastAsia"/>
          <w:sz w:val="28"/>
          <w:szCs w:val="28"/>
          <w:lang w:val="en-US" w:eastAsia="zh-CN"/>
        </w:rPr>
        <w:t>室</w:t>
      </w:r>
      <w:r>
        <w:rPr>
          <w:rFonts w:hint="default" w:ascii="Times New Roman" w:hAnsi="Times New Roman" w:cs="Times New Roman" w:eastAsiaTheme="minorEastAsia"/>
          <w:sz w:val="28"/>
          <w:szCs w:val="28"/>
        </w:rPr>
        <w:t>。</w:t>
      </w:r>
    </w:p>
    <w:p w14:paraId="7D293798">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lang w:val="en-US" w:eastAsia="zh-CN" w:bidi="ar-SA"/>
        </w:rPr>
        <w:t>3.</w:t>
      </w:r>
      <w:r>
        <w:rPr>
          <w:rFonts w:hint="eastAsia" w:ascii="Times New Roman" w:hAnsi="Times New Roman" w:cs="Times New Roman" w:eastAsiaTheme="minorEastAsia"/>
          <w:sz w:val="28"/>
          <w:szCs w:val="28"/>
          <w:lang w:val="en-US" w:eastAsia="zh-CN" w:bidi="ar-SA"/>
        </w:rPr>
        <w:t xml:space="preserve"> </w:t>
      </w:r>
      <w:r>
        <w:rPr>
          <w:rFonts w:hint="default" w:ascii="Times New Roman" w:hAnsi="Times New Roman" w:cs="Times New Roman" w:eastAsiaTheme="minorEastAsia"/>
          <w:sz w:val="28"/>
          <w:szCs w:val="28"/>
        </w:rPr>
        <w:t>开标：</w:t>
      </w:r>
      <w:r>
        <w:rPr>
          <w:rFonts w:hint="default" w:ascii="Times New Roman" w:hAnsi="Times New Roman" w:cs="Times New Roman" w:eastAsiaTheme="minorEastAsia"/>
          <w:sz w:val="28"/>
          <w:szCs w:val="28"/>
          <w:lang w:val="en-US" w:eastAsia="zh-CN"/>
        </w:rPr>
        <w:t>2026年</w:t>
      </w:r>
      <w:r>
        <w:rPr>
          <w:rFonts w:hint="eastAsia" w:ascii="Times New Roman" w:hAnsi="Times New Roman" w:cs="Times New Roman" w:eastAsiaTheme="minorEastAsia"/>
          <w:sz w:val="28"/>
          <w:szCs w:val="28"/>
          <w:lang w:val="en-US" w:eastAsia="zh-CN"/>
        </w:rPr>
        <w:t>9</w:t>
      </w:r>
      <w:r>
        <w:rPr>
          <w:rFonts w:hint="default" w:ascii="Times New Roman" w:hAnsi="Times New Roman" w:cs="Times New Roman" w:eastAsiaTheme="minorEastAsia"/>
          <w:sz w:val="28"/>
          <w:szCs w:val="28"/>
          <w:lang w:val="en-US" w:eastAsia="zh-CN"/>
        </w:rPr>
        <w:t>月</w:t>
      </w:r>
      <w:r>
        <w:rPr>
          <w:rFonts w:hint="eastAsia" w:ascii="Times New Roman" w:hAnsi="Times New Roman" w:cs="Times New Roman" w:eastAsiaTheme="minorEastAsia"/>
          <w:sz w:val="28"/>
          <w:szCs w:val="28"/>
          <w:lang w:val="en-US" w:eastAsia="zh-CN"/>
        </w:rPr>
        <w:t>24</w:t>
      </w:r>
      <w:r>
        <w:rPr>
          <w:rFonts w:hint="default" w:ascii="Times New Roman" w:hAnsi="Times New Roman" w:cs="Times New Roman" w:eastAsiaTheme="minorEastAsia"/>
          <w:sz w:val="28"/>
          <w:szCs w:val="28"/>
          <w:lang w:val="en-US" w:eastAsia="zh-CN"/>
        </w:rPr>
        <w:t>日14:</w:t>
      </w:r>
      <w:r>
        <w:rPr>
          <w:rFonts w:hint="eastAsia" w:ascii="Times New Roman" w:hAnsi="Times New Roman" w:cs="Times New Roman" w:eastAsiaTheme="minorEastAsia"/>
          <w:sz w:val="28"/>
          <w:szCs w:val="28"/>
          <w:lang w:val="en-US" w:eastAsia="zh-CN"/>
        </w:rPr>
        <w:t>00</w:t>
      </w:r>
    </w:p>
    <w:p w14:paraId="7988599D">
      <w:pPr>
        <w:pStyle w:val="26"/>
        <w:keepNext w:val="0"/>
        <w:keepLines w:val="0"/>
        <w:pageBreakBefore w:val="0"/>
        <w:widowControl w:val="0"/>
        <w:numPr>
          <w:ilvl w:val="0"/>
          <w:numId w:val="0"/>
        </w:numPr>
        <w:kinsoku/>
        <w:wordWrap/>
        <w:overflowPunct/>
        <w:topLinePunct w:val="0"/>
        <w:autoSpaceDE/>
        <w:autoSpaceDN/>
        <w:bidi w:val="0"/>
        <w:adjustRightInd/>
        <w:snapToGrid w:val="0"/>
        <w:spacing w:before="0" w:after="0" w:line="360" w:lineRule="auto"/>
        <w:ind w:left="0" w:leftChars="0" w:firstLine="560" w:firstLineChars="200"/>
        <w:jc w:val="both"/>
        <w:textAlignment w:val="auto"/>
        <w:rPr>
          <w:rFonts w:hint="default" w:ascii="Times New Roman" w:hAnsi="Times New Roman" w:cs="Times New Roman" w:eastAsiaTheme="minorEastAsia"/>
          <w:sz w:val="28"/>
          <w:szCs w:val="28"/>
          <w:lang w:val="en-US" w:eastAsia="zh-CN"/>
        </w:rPr>
      </w:pPr>
    </w:p>
    <w:p w14:paraId="43C49106">
      <w:pPr>
        <w:pStyle w:val="6"/>
        <w:keepNext w:val="0"/>
        <w:keepLines w:val="0"/>
        <w:pageBreakBefore w:val="0"/>
        <w:widowControl w:val="0"/>
        <w:kinsoku/>
        <w:wordWrap/>
        <w:overflowPunct/>
        <w:topLinePunct w:val="0"/>
        <w:autoSpaceDE/>
        <w:autoSpaceDN/>
        <w:bidi w:val="0"/>
        <w:adjustRightInd/>
        <w:snapToGrid w:val="0"/>
        <w:spacing w:before="0" w:after="0" w:line="360" w:lineRule="auto"/>
        <w:jc w:val="both"/>
        <w:textAlignment w:val="auto"/>
        <w:rPr>
          <w:rFonts w:hint="default" w:ascii="黑体" w:hAnsi="黑体" w:eastAsia="黑体" w:cs="黑体"/>
          <w:sz w:val="28"/>
          <w:szCs w:val="28"/>
          <w:lang w:eastAsia="zh-CN"/>
        </w:rPr>
      </w:pPr>
      <w:r>
        <w:rPr>
          <w:rFonts w:hint="eastAsia" w:ascii="黑体" w:hAnsi="黑体" w:eastAsia="黑体" w:cs="黑体"/>
          <w:sz w:val="28"/>
          <w:szCs w:val="28"/>
          <w:lang w:eastAsia="zh-CN"/>
        </w:rPr>
        <w:t>五</w:t>
      </w:r>
      <w:r>
        <w:rPr>
          <w:rFonts w:hint="default" w:ascii="黑体" w:hAnsi="黑体" w:eastAsia="黑体" w:cs="黑体"/>
          <w:sz w:val="28"/>
          <w:szCs w:val="28"/>
          <w:lang w:eastAsia="zh-CN"/>
        </w:rPr>
        <w:t>、联系方式</w:t>
      </w:r>
    </w:p>
    <w:p w14:paraId="7E9901C4">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z w:val="28"/>
          <w:szCs w:val="28"/>
          <w:lang w:eastAsia="zh-CN"/>
        </w:rPr>
        <w:t>采购人</w:t>
      </w:r>
      <w:r>
        <w:rPr>
          <w:rFonts w:hint="default" w:ascii="Times New Roman" w:hAnsi="Times New Roman" w:cs="Times New Roman" w:eastAsiaTheme="minorEastAsia"/>
          <w:sz w:val="28"/>
          <w:szCs w:val="28"/>
        </w:rPr>
        <w:t>：</w:t>
      </w:r>
      <w:r>
        <w:rPr>
          <w:rFonts w:hint="default" w:ascii="Times New Roman" w:hAnsi="Times New Roman" w:cs="Times New Roman" w:eastAsiaTheme="minorEastAsia"/>
          <w:sz w:val="28"/>
          <w:szCs w:val="28"/>
          <w:lang w:eastAsia="zh-CN"/>
        </w:rPr>
        <w:t>舟山市食品药品检验检测研究院</w:t>
      </w:r>
    </w:p>
    <w:p w14:paraId="7F99E960">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rPr>
        <w:t>联系人：</w:t>
      </w:r>
      <w:r>
        <w:rPr>
          <w:rFonts w:hint="default" w:ascii="Times New Roman" w:hAnsi="Times New Roman" w:cs="Times New Roman" w:eastAsiaTheme="minorEastAsia"/>
          <w:sz w:val="28"/>
          <w:szCs w:val="28"/>
          <w:lang w:eastAsia="zh-CN"/>
        </w:rPr>
        <w:t>唐先生</w:t>
      </w:r>
    </w:p>
    <w:p w14:paraId="2E247D33">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rPr>
        <w:t>联系电话：</w:t>
      </w:r>
      <w:r>
        <w:rPr>
          <w:rFonts w:hint="eastAsia" w:ascii="Times New Roman" w:hAnsi="Times New Roman" w:cs="Times New Roman" w:eastAsiaTheme="minorEastAsia"/>
          <w:sz w:val="28"/>
          <w:szCs w:val="28"/>
          <w:lang w:val="en-US" w:eastAsia="zh-CN"/>
        </w:rPr>
        <w:t>2060367</w:t>
      </w:r>
    </w:p>
    <w:p w14:paraId="4CDA6531">
      <w:pPr>
        <w:pStyle w:val="26"/>
        <w:keepNext w:val="0"/>
        <w:keepLines w:val="0"/>
        <w:pageBreakBefore w:val="0"/>
        <w:widowControl w:val="0"/>
        <w:kinsoku/>
        <w:wordWrap/>
        <w:overflowPunct/>
        <w:topLinePunct w:val="0"/>
        <w:autoSpaceDE/>
        <w:autoSpaceDN/>
        <w:bidi w:val="0"/>
        <w:adjustRightInd/>
        <w:snapToGrid w:val="0"/>
        <w:spacing w:before="0" w:after="0" w:line="360" w:lineRule="auto"/>
        <w:ind w:firstLine="560" w:firstLineChars="200"/>
        <w:jc w:val="both"/>
        <w:textAlignment w:val="auto"/>
        <w:rPr>
          <w:rFonts w:hint="default" w:ascii="Times New Roman" w:hAnsi="Times New Roman" w:cs="Times New Roman" w:eastAsiaTheme="minorEastAsia"/>
          <w:sz w:val="28"/>
          <w:szCs w:val="28"/>
          <w:lang w:val="en-US" w:eastAsia="zh-CN"/>
        </w:rPr>
      </w:pPr>
    </w:p>
    <w:p w14:paraId="58F26AE8">
      <w:pPr>
        <w:pStyle w:val="6"/>
        <w:keepNext w:val="0"/>
        <w:keepLines w:val="0"/>
        <w:pageBreakBefore w:val="0"/>
        <w:widowControl w:val="0"/>
        <w:kinsoku/>
        <w:wordWrap/>
        <w:overflowPunct/>
        <w:topLinePunct w:val="0"/>
        <w:autoSpaceDE/>
        <w:autoSpaceDN/>
        <w:bidi w:val="0"/>
        <w:adjustRightInd/>
        <w:snapToGrid w:val="0"/>
        <w:spacing w:before="0" w:after="0" w:line="36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六、评分标准</w:t>
      </w:r>
    </w:p>
    <w:p w14:paraId="00B585F6">
      <w:pPr>
        <w:pStyle w:val="26"/>
        <w:keepNext w:val="0"/>
        <w:keepLines w:val="0"/>
        <w:pageBreakBefore w:val="0"/>
        <w:widowControl/>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rPr>
      </w:pPr>
      <w:r>
        <w:rPr>
          <w:rFonts w:hint="eastAsia" w:ascii="Times New Roman" w:hAnsi="Times New Roman" w:cs="Times New Roman" w:eastAsiaTheme="minorEastAsia"/>
          <w:sz w:val="28"/>
          <w:szCs w:val="28"/>
          <w:lang w:val="en-US" w:eastAsia="zh-CN"/>
        </w:rPr>
        <w:t xml:space="preserve">1. </w:t>
      </w:r>
      <w:r>
        <w:rPr>
          <w:rFonts w:hint="eastAsia" w:ascii="Times New Roman" w:hAnsi="Times New Roman" w:cs="Times New Roman" w:eastAsiaTheme="minorEastAsia"/>
          <w:sz w:val="28"/>
          <w:szCs w:val="28"/>
        </w:rPr>
        <w:t>本次评标采用综合评分法，总分100分。</w:t>
      </w:r>
      <w:r>
        <w:rPr>
          <w:rFonts w:hint="eastAsia" w:ascii="Times New Roman" w:hAnsi="Times New Roman" w:cs="Times New Roman" w:eastAsiaTheme="minorEastAsia"/>
          <w:sz w:val="28"/>
          <w:szCs w:val="28"/>
          <w:lang w:eastAsia="zh-CN"/>
        </w:rPr>
        <w:t>其中，</w:t>
      </w:r>
      <w:r>
        <w:rPr>
          <w:rFonts w:hint="eastAsia" w:ascii="Times New Roman" w:hAnsi="Times New Roman" w:cs="Times New Roman" w:eastAsiaTheme="minorEastAsia"/>
          <w:sz w:val="28"/>
          <w:szCs w:val="28"/>
        </w:rPr>
        <w:t>资信商务及技术分的权重为</w:t>
      </w:r>
      <w:r>
        <w:rPr>
          <w:rFonts w:hint="eastAsia" w:ascii="Times New Roman" w:hAnsi="Times New Roman" w:cs="Times New Roman" w:eastAsiaTheme="minorEastAsia"/>
          <w:sz w:val="28"/>
          <w:szCs w:val="28"/>
          <w:lang w:val="en-US" w:eastAsia="zh-CN"/>
        </w:rPr>
        <w:t xml:space="preserve"> 30 </w:t>
      </w:r>
      <w:r>
        <w:rPr>
          <w:rFonts w:hint="eastAsia" w:ascii="Times New Roman" w:hAnsi="Times New Roman" w:cs="Times New Roman" w:eastAsiaTheme="minorEastAsia"/>
          <w:sz w:val="28"/>
          <w:szCs w:val="28"/>
        </w:rPr>
        <w:t>%，评审分值为</w:t>
      </w:r>
      <w:r>
        <w:rPr>
          <w:rFonts w:hint="eastAsia" w:ascii="Times New Roman" w:hAnsi="Times New Roman" w:cs="Times New Roman" w:eastAsiaTheme="minorEastAsia"/>
          <w:sz w:val="28"/>
          <w:szCs w:val="28"/>
          <w:lang w:val="en-US" w:eastAsia="zh-CN"/>
        </w:rPr>
        <w:t xml:space="preserve">30 </w:t>
      </w:r>
      <w:r>
        <w:rPr>
          <w:rFonts w:hint="eastAsia" w:ascii="Times New Roman" w:hAnsi="Times New Roman" w:cs="Times New Roman" w:eastAsiaTheme="minorEastAsia"/>
          <w:sz w:val="28"/>
          <w:szCs w:val="28"/>
        </w:rPr>
        <w:t>分</w:t>
      </w:r>
      <w:r>
        <w:rPr>
          <w:rFonts w:hint="eastAsia" w:ascii="Times New Roman" w:hAnsi="Times New Roman" w:cs="Times New Roman" w:eastAsiaTheme="minorEastAsia"/>
          <w:sz w:val="28"/>
          <w:szCs w:val="28"/>
          <w:lang w:eastAsia="zh-CN"/>
        </w:rPr>
        <w:t>；</w:t>
      </w:r>
      <w:r>
        <w:rPr>
          <w:rFonts w:hint="eastAsia" w:ascii="Times New Roman" w:hAnsi="Times New Roman" w:cs="Times New Roman" w:eastAsiaTheme="minorEastAsia"/>
          <w:sz w:val="28"/>
          <w:szCs w:val="28"/>
        </w:rPr>
        <w:t>报价分的权重为</w:t>
      </w:r>
      <w:r>
        <w:rPr>
          <w:rFonts w:hint="eastAsia" w:ascii="Times New Roman" w:hAnsi="Times New Roman" w:cs="Times New Roman" w:eastAsiaTheme="minorEastAsia"/>
          <w:sz w:val="28"/>
          <w:szCs w:val="28"/>
          <w:lang w:val="en-US" w:eastAsia="zh-CN"/>
        </w:rPr>
        <w:t xml:space="preserve"> 70 </w:t>
      </w:r>
      <w:r>
        <w:rPr>
          <w:rFonts w:hint="eastAsia" w:ascii="Times New Roman" w:hAnsi="Times New Roman" w:cs="Times New Roman" w:eastAsiaTheme="minorEastAsia"/>
          <w:sz w:val="28"/>
          <w:szCs w:val="28"/>
        </w:rPr>
        <w:t>%，评审分值为</w:t>
      </w:r>
      <w:r>
        <w:rPr>
          <w:rFonts w:hint="eastAsia" w:ascii="Times New Roman" w:hAnsi="Times New Roman" w:cs="Times New Roman" w:eastAsiaTheme="minorEastAsia"/>
          <w:sz w:val="28"/>
          <w:szCs w:val="28"/>
          <w:lang w:val="en-US" w:eastAsia="zh-CN"/>
        </w:rPr>
        <w:t xml:space="preserve"> 70 </w:t>
      </w:r>
      <w:r>
        <w:rPr>
          <w:rFonts w:hint="eastAsia" w:ascii="Times New Roman" w:hAnsi="Times New Roman" w:cs="Times New Roman" w:eastAsiaTheme="minorEastAsia"/>
          <w:sz w:val="28"/>
          <w:szCs w:val="28"/>
        </w:rPr>
        <w:t>分，由</w:t>
      </w:r>
      <w:r>
        <w:rPr>
          <w:rFonts w:hint="eastAsia" w:ascii="Times New Roman" w:hAnsi="Times New Roman" w:cs="Times New Roman" w:eastAsiaTheme="minorEastAsia"/>
          <w:sz w:val="28"/>
          <w:szCs w:val="28"/>
          <w:lang w:eastAsia="zh-CN"/>
        </w:rPr>
        <w:t>采购评审小组</w:t>
      </w:r>
      <w:r>
        <w:rPr>
          <w:rFonts w:hint="eastAsia" w:ascii="Times New Roman" w:hAnsi="Times New Roman" w:cs="Times New Roman" w:eastAsiaTheme="minorEastAsia"/>
          <w:sz w:val="28"/>
          <w:szCs w:val="28"/>
        </w:rPr>
        <w:t>按各投标人报价统一计算。</w:t>
      </w:r>
    </w:p>
    <w:p w14:paraId="6146C6C4">
      <w:pPr>
        <w:pStyle w:val="26"/>
        <w:keepNext w:val="0"/>
        <w:keepLines w:val="0"/>
        <w:pageBreakBefore w:val="0"/>
        <w:widowControl/>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rPr>
      </w:pPr>
      <w:r>
        <w:rPr>
          <w:rFonts w:hint="eastAsia" w:ascii="Times New Roman" w:hAnsi="Times New Roman" w:cs="Times New Roman" w:eastAsiaTheme="minorEastAsia"/>
          <w:sz w:val="28"/>
          <w:szCs w:val="28"/>
        </w:rPr>
        <w:t>投标人总得分=资信商务及技术得分+报价得分。</w:t>
      </w:r>
    </w:p>
    <w:p w14:paraId="4FB56F7C">
      <w:pPr>
        <w:pStyle w:val="26"/>
        <w:keepNext w:val="0"/>
        <w:keepLines w:val="0"/>
        <w:pageBreakBefore w:val="0"/>
        <w:widowControl/>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rPr>
      </w:pPr>
      <w:r>
        <w:rPr>
          <w:rFonts w:hint="eastAsia" w:ascii="Times New Roman" w:hAnsi="Times New Roman" w:cs="Times New Roman" w:eastAsiaTheme="minorEastAsia"/>
          <w:sz w:val="28"/>
          <w:szCs w:val="28"/>
          <w:lang w:val="en-US" w:eastAsia="zh-CN"/>
        </w:rPr>
        <w:t xml:space="preserve">2. </w:t>
      </w:r>
      <w:r>
        <w:rPr>
          <w:rFonts w:hint="eastAsia" w:ascii="Times New Roman" w:hAnsi="Times New Roman" w:cs="Times New Roman" w:eastAsiaTheme="minorEastAsia"/>
          <w:sz w:val="28"/>
          <w:szCs w:val="28"/>
        </w:rPr>
        <w:t>报价分（</w:t>
      </w:r>
      <w:r>
        <w:rPr>
          <w:rFonts w:hint="eastAsia" w:ascii="Times New Roman" w:hAnsi="Times New Roman" w:cs="Times New Roman" w:eastAsiaTheme="minorEastAsia"/>
          <w:sz w:val="28"/>
          <w:szCs w:val="28"/>
          <w:lang w:val="en-US" w:eastAsia="zh-CN"/>
        </w:rPr>
        <w:t>70</w:t>
      </w:r>
      <w:r>
        <w:rPr>
          <w:rFonts w:hint="eastAsia" w:ascii="Times New Roman" w:hAnsi="Times New Roman" w:cs="Times New Roman" w:eastAsiaTheme="minorEastAsia"/>
          <w:sz w:val="28"/>
          <w:szCs w:val="28"/>
        </w:rPr>
        <w:t>分）</w:t>
      </w:r>
    </w:p>
    <w:p w14:paraId="6EC58E0F">
      <w:pPr>
        <w:pStyle w:val="26"/>
        <w:keepNext w:val="0"/>
        <w:keepLines w:val="0"/>
        <w:pageBreakBefore w:val="0"/>
        <w:widowControl/>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rPr>
      </w:pPr>
      <w:r>
        <w:rPr>
          <w:rFonts w:hint="eastAsia" w:ascii="Times New Roman" w:hAnsi="Times New Roman" w:cs="Times New Roman" w:eastAsiaTheme="minorEastAsia"/>
          <w:sz w:val="28"/>
          <w:szCs w:val="28"/>
        </w:rPr>
        <w:t>报价得分采用低价优先法计算，即满足招标文件要求且投标价格最低的投标报价为评标基准价，其他投标人的价格分按照下列公式计算：</w:t>
      </w:r>
    </w:p>
    <w:p w14:paraId="3499067E">
      <w:pPr>
        <w:pStyle w:val="26"/>
        <w:keepNext w:val="0"/>
        <w:keepLines w:val="0"/>
        <w:pageBreakBefore w:val="0"/>
        <w:widowControl/>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rPr>
      </w:pPr>
      <w:r>
        <w:rPr>
          <w:rFonts w:hint="eastAsia" w:ascii="Times New Roman" w:hAnsi="Times New Roman" w:cs="Times New Roman" w:eastAsiaTheme="minorEastAsia"/>
          <w:sz w:val="28"/>
          <w:szCs w:val="28"/>
        </w:rPr>
        <w:t>价格分=（评标基准价/投标报价）</w:t>
      </w:r>
      <w:r>
        <w:rPr>
          <w:rFonts w:hint="eastAsia" w:ascii="Times New Roman" w:hAnsi="Times New Roman" w:cs="Times New Roman" w:eastAsiaTheme="minorEastAsia"/>
          <w:sz w:val="28"/>
          <w:szCs w:val="28"/>
          <w:lang w:val="en-US" w:eastAsia="zh-CN"/>
        </w:rPr>
        <w:t>×</w:t>
      </w:r>
      <w:r>
        <w:rPr>
          <w:rFonts w:hint="eastAsia" w:ascii="Times New Roman" w:hAnsi="Times New Roman" w:cs="Times New Roman" w:eastAsiaTheme="minorEastAsia"/>
          <w:sz w:val="28"/>
          <w:szCs w:val="28"/>
        </w:rPr>
        <w:t>报价权重×100</w:t>
      </w:r>
    </w:p>
    <w:p w14:paraId="5E5342FE">
      <w:pPr>
        <w:pStyle w:val="26"/>
        <w:keepNext w:val="0"/>
        <w:keepLines w:val="0"/>
        <w:pageBreakBefore w:val="0"/>
        <w:widowControl/>
        <w:kinsoku/>
        <w:wordWrap/>
        <w:overflowPunct/>
        <w:topLinePunct w:val="0"/>
        <w:autoSpaceDE/>
        <w:autoSpaceDN/>
        <w:bidi w:val="0"/>
        <w:adjustRightInd/>
        <w:snapToGrid w:val="0"/>
        <w:spacing w:before="0" w:after="0" w:line="360" w:lineRule="auto"/>
        <w:ind w:firstLine="560" w:firstLineChars="200"/>
        <w:jc w:val="both"/>
        <w:textAlignment w:val="auto"/>
        <w:rPr>
          <w:rFonts w:hint="eastAsia" w:ascii="Times New Roman" w:hAnsi="Times New Roman" w:cs="Times New Roman" w:eastAsiaTheme="minorEastAsia"/>
          <w:sz w:val="28"/>
          <w:szCs w:val="28"/>
        </w:rPr>
      </w:pPr>
      <w:r>
        <w:rPr>
          <w:rFonts w:hint="eastAsia" w:ascii="Times New Roman" w:hAnsi="Times New Roman" w:cs="Times New Roman" w:eastAsiaTheme="minorEastAsia"/>
          <w:sz w:val="28"/>
          <w:szCs w:val="28"/>
          <w:lang w:val="en-US" w:eastAsia="zh-CN"/>
        </w:rPr>
        <w:t xml:space="preserve">3. </w:t>
      </w:r>
      <w:r>
        <w:rPr>
          <w:rFonts w:hint="eastAsia" w:ascii="Times New Roman" w:hAnsi="Times New Roman" w:cs="Times New Roman" w:eastAsiaTheme="minorEastAsia"/>
          <w:sz w:val="28"/>
          <w:szCs w:val="28"/>
        </w:rPr>
        <w:t>资信商务及技术分</w:t>
      </w:r>
      <w:r>
        <w:rPr>
          <w:rFonts w:hint="eastAsia" w:ascii="Times New Roman" w:hAnsi="Times New Roman" w:cs="Times New Roman" w:eastAsiaTheme="minorEastAsia"/>
          <w:sz w:val="28"/>
          <w:szCs w:val="28"/>
          <w:lang w:val="en-US" w:eastAsia="zh-CN"/>
        </w:rPr>
        <w:t>30</w:t>
      </w:r>
      <w:r>
        <w:rPr>
          <w:rFonts w:hint="eastAsia" w:ascii="Times New Roman" w:hAnsi="Times New Roman" w:cs="Times New Roman" w:eastAsiaTheme="minorEastAsia"/>
          <w:sz w:val="28"/>
          <w:szCs w:val="28"/>
        </w:rPr>
        <w:t>分，详细评分见下表：</w:t>
      </w:r>
    </w:p>
    <w:tbl>
      <w:tblPr>
        <w:tblStyle w:val="19"/>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5"/>
        <w:gridCol w:w="975"/>
        <w:gridCol w:w="7045"/>
      </w:tblGrid>
      <w:tr w14:paraId="196FD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65" w:type="dxa"/>
            <w:tcBorders>
              <w:top w:val="single" w:color="auto" w:sz="4" w:space="0"/>
              <w:left w:val="single" w:color="auto" w:sz="4" w:space="0"/>
              <w:bottom w:val="single" w:color="auto" w:sz="4" w:space="0"/>
              <w:right w:val="single" w:color="auto" w:sz="4" w:space="0"/>
            </w:tcBorders>
            <w:noWrap w:val="0"/>
            <w:vAlign w:val="center"/>
          </w:tcPr>
          <w:p w14:paraId="3CCE8217">
            <w:pPr>
              <w:keepNext w:val="0"/>
              <w:keepLines w:val="0"/>
              <w:pageBreakBefore w:val="0"/>
              <w:widowControl w:val="0"/>
              <w:kinsoku/>
              <w:wordWrap/>
              <w:overflowPunct/>
              <w:topLinePunct w:val="0"/>
              <w:autoSpaceDE/>
              <w:autoSpaceDN/>
              <w:bidi w:val="0"/>
              <w:adjustRightInd/>
              <w:snapToGrid w:val="0"/>
              <w:spacing w:line="240" w:lineRule="auto"/>
              <w:ind w:right="3"/>
              <w:jc w:val="center"/>
              <w:textAlignment w:val="auto"/>
              <w:rPr>
                <w:rFonts w:hint="eastAsia" w:ascii="黑体" w:hAnsi="黑体" w:eastAsia="黑体" w:cs="黑体"/>
                <w:b/>
                <w:color w:val="auto"/>
                <w:spacing w:val="4"/>
                <w:sz w:val="24"/>
                <w:szCs w:val="24"/>
              </w:rPr>
            </w:pPr>
            <w:r>
              <w:rPr>
                <w:rFonts w:hint="eastAsia" w:ascii="黑体" w:hAnsi="黑体" w:eastAsia="黑体" w:cs="黑体"/>
                <w:b/>
                <w:color w:val="auto"/>
                <w:spacing w:val="4"/>
                <w:sz w:val="24"/>
                <w:szCs w:val="24"/>
              </w:rPr>
              <w:t>评审</w:t>
            </w:r>
          </w:p>
          <w:p w14:paraId="7F16126F">
            <w:pPr>
              <w:keepNext w:val="0"/>
              <w:keepLines w:val="0"/>
              <w:pageBreakBefore w:val="0"/>
              <w:widowControl w:val="0"/>
              <w:kinsoku/>
              <w:wordWrap/>
              <w:overflowPunct/>
              <w:topLinePunct w:val="0"/>
              <w:autoSpaceDE/>
              <w:autoSpaceDN/>
              <w:bidi w:val="0"/>
              <w:adjustRightInd/>
              <w:snapToGrid w:val="0"/>
              <w:spacing w:line="240" w:lineRule="auto"/>
              <w:ind w:right="3"/>
              <w:jc w:val="center"/>
              <w:textAlignment w:val="auto"/>
              <w:rPr>
                <w:rFonts w:hint="eastAsia" w:ascii="黑体" w:hAnsi="黑体" w:eastAsia="黑体" w:cs="黑体"/>
                <w:b/>
                <w:color w:val="auto"/>
                <w:spacing w:val="4"/>
                <w:sz w:val="24"/>
                <w:szCs w:val="24"/>
              </w:rPr>
            </w:pPr>
            <w:r>
              <w:rPr>
                <w:rFonts w:hint="eastAsia" w:ascii="黑体" w:hAnsi="黑体" w:eastAsia="黑体" w:cs="黑体"/>
                <w:b/>
                <w:color w:val="auto"/>
                <w:spacing w:val="4"/>
                <w:sz w:val="24"/>
                <w:szCs w:val="24"/>
              </w:rPr>
              <w:t>项目</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08F67827">
            <w:pPr>
              <w:keepNext w:val="0"/>
              <w:keepLines w:val="0"/>
              <w:pageBreakBefore w:val="0"/>
              <w:widowControl w:val="0"/>
              <w:kinsoku/>
              <w:wordWrap/>
              <w:overflowPunct/>
              <w:topLinePunct w:val="0"/>
              <w:autoSpaceDE/>
              <w:autoSpaceDN/>
              <w:bidi w:val="0"/>
              <w:adjustRightInd/>
              <w:snapToGrid w:val="0"/>
              <w:spacing w:line="240" w:lineRule="auto"/>
              <w:ind w:right="3"/>
              <w:jc w:val="center"/>
              <w:textAlignment w:val="auto"/>
              <w:rPr>
                <w:rFonts w:hint="eastAsia" w:ascii="黑体" w:hAnsi="黑体" w:eastAsia="黑体" w:cs="黑体"/>
                <w:b/>
                <w:color w:val="auto"/>
                <w:spacing w:val="4"/>
                <w:sz w:val="24"/>
                <w:szCs w:val="24"/>
              </w:rPr>
            </w:pPr>
            <w:r>
              <w:rPr>
                <w:rFonts w:hint="eastAsia" w:ascii="黑体" w:hAnsi="黑体" w:eastAsia="黑体" w:cs="黑体"/>
                <w:b/>
                <w:color w:val="auto"/>
                <w:spacing w:val="4"/>
                <w:sz w:val="24"/>
                <w:szCs w:val="24"/>
              </w:rPr>
              <w:t>分值</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6346189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olor w:val="auto"/>
                <w:sz w:val="24"/>
                <w:szCs w:val="24"/>
              </w:rPr>
            </w:pPr>
            <w:r>
              <w:rPr>
                <w:rFonts w:hint="eastAsia" w:ascii="黑体" w:hAnsi="黑体" w:eastAsia="黑体" w:cs="黑体"/>
                <w:b/>
                <w:color w:val="auto"/>
                <w:spacing w:val="4"/>
                <w:sz w:val="24"/>
                <w:szCs w:val="24"/>
              </w:rPr>
              <w:t>评分标准</w:t>
            </w:r>
          </w:p>
        </w:tc>
      </w:tr>
      <w:tr w14:paraId="49DF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5" w:type="dxa"/>
            <w:tcBorders>
              <w:top w:val="single" w:color="auto" w:sz="4" w:space="0"/>
              <w:left w:val="single" w:color="auto" w:sz="4" w:space="0"/>
              <w:right w:val="single" w:color="auto" w:sz="4" w:space="0"/>
            </w:tcBorders>
            <w:noWrap w:val="0"/>
            <w:vAlign w:val="center"/>
          </w:tcPr>
          <w:p w14:paraId="5F3749F4">
            <w:pPr>
              <w:pStyle w:val="5"/>
              <w:keepNext w:val="0"/>
              <w:keepLines w:val="0"/>
              <w:pageBreakBefore w:val="0"/>
              <w:widowControl w:val="0"/>
              <w:kinsoku/>
              <w:wordWrap/>
              <w:overflowPunct/>
              <w:topLinePunct w:val="0"/>
              <w:autoSpaceDE/>
              <w:autoSpaceDN/>
              <w:bidi w:val="0"/>
              <w:adjustRightInd/>
              <w:snapToGrid w:val="0"/>
              <w:spacing w:before="0" w:after="0" w:line="240" w:lineRule="auto"/>
              <w:jc w:val="center"/>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同类业绩</w:t>
            </w:r>
          </w:p>
        </w:tc>
        <w:tc>
          <w:tcPr>
            <w:tcW w:w="975" w:type="dxa"/>
            <w:tcBorders>
              <w:top w:val="single" w:color="auto" w:sz="4" w:space="0"/>
              <w:left w:val="single" w:color="auto" w:sz="4" w:space="0"/>
              <w:right w:val="single" w:color="auto" w:sz="4" w:space="0"/>
            </w:tcBorders>
            <w:noWrap w:val="0"/>
            <w:vAlign w:val="center"/>
          </w:tcPr>
          <w:p w14:paraId="3EBA6FB4">
            <w:pPr>
              <w:keepNext w:val="0"/>
              <w:keepLines w:val="0"/>
              <w:pageBreakBefore w:val="0"/>
              <w:widowControl w:val="0"/>
              <w:kinsoku/>
              <w:wordWrap/>
              <w:overflowPunct/>
              <w:topLinePunct w:val="0"/>
              <w:autoSpaceDE/>
              <w:autoSpaceDN/>
              <w:bidi w:val="0"/>
              <w:adjustRightInd/>
              <w:snapToGrid w:val="0"/>
              <w:spacing w:line="240" w:lineRule="auto"/>
              <w:ind w:firstLine="120" w:firstLineChars="5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04A9702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所投品牌同型号产品2024年6月1日至今取得的UPS类设施设备的销售或维护业绩，提供1个业绩不得分；1个以上业绩的，每增加1项业绩得1分，满分3分。</w:t>
            </w:r>
          </w:p>
          <w:p w14:paraId="4D0EA777">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此项仅针对产品业绩，</w:t>
            </w:r>
            <w:r>
              <w:rPr>
                <w:rFonts w:hint="eastAsia" w:ascii="宋体" w:hAnsi="宋体" w:eastAsia="宋体" w:cs="宋体"/>
                <w:color w:val="auto"/>
                <w:sz w:val="24"/>
                <w:szCs w:val="24"/>
                <w:highlight w:val="none"/>
              </w:rPr>
              <w:t>需提供合同复印件</w:t>
            </w:r>
            <w:r>
              <w:rPr>
                <w:rFonts w:hint="eastAsia" w:ascii="宋体" w:hAnsi="宋体" w:eastAsia="宋体" w:cs="宋体"/>
                <w:color w:val="auto"/>
                <w:sz w:val="24"/>
                <w:szCs w:val="24"/>
                <w:highlight w:val="none"/>
                <w:lang w:eastAsia="zh-CN"/>
              </w:rPr>
              <w:t>，并能清晰显示关键信息</w:t>
            </w:r>
            <w:r>
              <w:rPr>
                <w:rFonts w:hint="eastAsia" w:ascii="宋体" w:hAnsi="宋体" w:eastAsia="宋体" w:cs="宋体"/>
                <w:color w:val="auto"/>
                <w:sz w:val="24"/>
                <w:szCs w:val="24"/>
                <w:highlight w:val="none"/>
              </w:rPr>
              <w:t>）</w:t>
            </w:r>
          </w:p>
        </w:tc>
      </w:tr>
      <w:tr w14:paraId="3EBC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1565" w:type="dxa"/>
            <w:tcBorders>
              <w:top w:val="single" w:color="auto" w:sz="4" w:space="0"/>
              <w:left w:val="single" w:color="auto" w:sz="4" w:space="0"/>
              <w:right w:val="single" w:color="auto" w:sz="4" w:space="0"/>
            </w:tcBorders>
            <w:noWrap w:val="0"/>
            <w:vAlign w:val="center"/>
          </w:tcPr>
          <w:p w14:paraId="577B72B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相关证书</w:t>
            </w:r>
          </w:p>
          <w:p w14:paraId="2CB4837F">
            <w:pPr>
              <w:pStyle w:val="5"/>
              <w:keepNext w:val="0"/>
              <w:keepLines w:val="0"/>
              <w:pageBreakBefore w:val="0"/>
              <w:widowControl w:val="0"/>
              <w:kinsoku/>
              <w:wordWrap/>
              <w:overflowPunct/>
              <w:topLinePunct w:val="0"/>
              <w:autoSpaceDE/>
              <w:autoSpaceDN/>
              <w:bidi w:val="0"/>
              <w:adjustRightInd/>
              <w:snapToGrid w:val="0"/>
              <w:spacing w:before="0" w:after="0" w:line="240" w:lineRule="auto"/>
              <w:jc w:val="center"/>
              <w:textAlignment w:val="auto"/>
              <w:rPr>
                <w:rFonts w:hint="eastAsia" w:ascii="宋体" w:hAnsi="宋体" w:eastAsia="宋体" w:cs="宋体"/>
                <w:b w:val="0"/>
                <w:bCs w:val="0"/>
                <w:color w:val="auto"/>
                <w:sz w:val="24"/>
                <w:szCs w:val="24"/>
                <w:lang w:eastAsia="zh-CN"/>
              </w:rPr>
            </w:pPr>
          </w:p>
        </w:tc>
        <w:tc>
          <w:tcPr>
            <w:tcW w:w="975" w:type="dxa"/>
            <w:tcBorders>
              <w:top w:val="single" w:color="auto" w:sz="4" w:space="0"/>
              <w:left w:val="single" w:color="auto" w:sz="4" w:space="0"/>
              <w:right w:val="single" w:color="auto" w:sz="4" w:space="0"/>
            </w:tcBorders>
            <w:noWrap w:val="0"/>
            <w:vAlign w:val="center"/>
          </w:tcPr>
          <w:p w14:paraId="495172BA">
            <w:pPr>
              <w:keepNext w:val="0"/>
              <w:keepLines w:val="0"/>
              <w:pageBreakBefore w:val="0"/>
              <w:widowControl w:val="0"/>
              <w:kinsoku/>
              <w:wordWrap/>
              <w:overflowPunct/>
              <w:topLinePunct w:val="0"/>
              <w:autoSpaceDE/>
              <w:autoSpaceDN/>
              <w:bidi w:val="0"/>
              <w:adjustRightInd/>
              <w:snapToGrid w:val="0"/>
              <w:spacing w:line="240" w:lineRule="auto"/>
              <w:ind w:firstLine="120" w:firstLineChars="5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16D609D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w:t>
            </w:r>
            <w:r>
              <w:rPr>
                <w:rFonts w:hint="eastAsia" w:ascii="宋体" w:hAnsi="宋体" w:eastAsia="宋体" w:cs="宋体"/>
                <w:color w:val="auto"/>
                <w:sz w:val="24"/>
                <w:szCs w:val="24"/>
                <w:lang w:eastAsia="zh-CN"/>
              </w:rPr>
              <w:t>所投设备生产企业</w:t>
            </w:r>
            <w:r>
              <w:rPr>
                <w:rFonts w:hint="eastAsia" w:ascii="宋体" w:hAnsi="宋体" w:eastAsia="宋体" w:cs="宋体"/>
                <w:color w:val="auto"/>
                <w:sz w:val="24"/>
                <w:szCs w:val="24"/>
              </w:rPr>
              <w:t>相关证书情况打分</w:t>
            </w:r>
            <w:bookmarkStart w:id="3" w:name="_GoBack"/>
            <w:r>
              <w:rPr>
                <w:rFonts w:hint="eastAsia" w:ascii="宋体" w:hAnsi="宋体" w:eastAsia="宋体" w:cs="宋体"/>
                <w:color w:val="auto"/>
                <w:sz w:val="24"/>
                <w:szCs w:val="24"/>
                <w:lang w:eastAsia="zh-CN"/>
              </w:rPr>
              <w:t>：</w:t>
            </w:r>
            <w:bookmarkEnd w:id="3"/>
          </w:p>
          <w:p w14:paraId="3314DC2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1.具有有效期内质量管理体系认证证书的得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0AACCDFE">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2.具有有效期内环境管理体系认证证书的得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D7D9B37">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3.具有有效期内职业健康安全管理体系认证证书的得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79E6239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注：上述证书由投标人在投标文件中自行提供，不提供不得分。</w:t>
            </w:r>
          </w:p>
        </w:tc>
      </w:tr>
      <w:tr w14:paraId="73BE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65" w:type="dxa"/>
            <w:tcBorders>
              <w:top w:val="single" w:color="auto" w:sz="4" w:space="0"/>
              <w:left w:val="single" w:color="auto" w:sz="4" w:space="0"/>
              <w:right w:val="single" w:color="auto" w:sz="4" w:space="0"/>
            </w:tcBorders>
            <w:noWrap w:val="0"/>
            <w:vAlign w:val="center"/>
          </w:tcPr>
          <w:p w14:paraId="0422C5B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人员配置</w:t>
            </w:r>
          </w:p>
        </w:tc>
        <w:tc>
          <w:tcPr>
            <w:tcW w:w="975" w:type="dxa"/>
            <w:tcBorders>
              <w:top w:val="single" w:color="auto" w:sz="4" w:space="0"/>
              <w:left w:val="single" w:color="auto" w:sz="4" w:space="0"/>
              <w:right w:val="single" w:color="auto" w:sz="4" w:space="0"/>
            </w:tcBorders>
            <w:noWrap w:val="0"/>
            <w:vAlign w:val="center"/>
          </w:tcPr>
          <w:p w14:paraId="17A780C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4DA5C7BF">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lang w:eastAsia="zh-CN"/>
              </w:rPr>
            </w:pPr>
            <w:r>
              <w:rPr>
                <w:rFonts w:hint="eastAsia" w:ascii="宋体" w:hAnsi="宋体" w:eastAsia="宋体" w:cs="宋体"/>
                <w:bCs/>
                <w:color w:val="auto"/>
                <w:sz w:val="24"/>
                <w:szCs w:val="24"/>
                <w:lang w:val="en-US" w:eastAsia="zh-CN"/>
              </w:rPr>
              <w:t>承诺运维人员在配备1人基础上，每增加1人得2分，最高得4分（需提供承诺函）</w:t>
            </w:r>
          </w:p>
        </w:tc>
      </w:tr>
      <w:tr w14:paraId="1C2E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565" w:type="dxa"/>
            <w:tcBorders>
              <w:left w:val="single" w:color="auto" w:sz="4" w:space="0"/>
              <w:right w:val="single" w:color="auto" w:sz="4" w:space="0"/>
            </w:tcBorders>
            <w:noWrap w:val="0"/>
            <w:vAlign w:val="center"/>
          </w:tcPr>
          <w:p w14:paraId="2E19AC2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服务方案</w:t>
            </w:r>
          </w:p>
        </w:tc>
        <w:tc>
          <w:tcPr>
            <w:tcW w:w="975" w:type="dxa"/>
            <w:tcBorders>
              <w:left w:val="single" w:color="auto" w:sz="4" w:space="0"/>
              <w:right w:val="single" w:color="auto" w:sz="4" w:space="0"/>
            </w:tcBorders>
            <w:noWrap w:val="0"/>
            <w:vAlign w:val="center"/>
          </w:tcPr>
          <w:p w14:paraId="1B61F96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1E24C078">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根据投标人针对本项目</w:t>
            </w:r>
            <w:r>
              <w:rPr>
                <w:rFonts w:hint="eastAsia" w:ascii="宋体" w:hAnsi="宋体" w:eastAsia="宋体" w:cs="宋体"/>
                <w:color w:val="auto"/>
                <w:sz w:val="24"/>
                <w:szCs w:val="24"/>
                <w:lang w:eastAsia="zh-CN"/>
              </w:rPr>
              <w:t>制定的服务方案完整性与合理性</w:t>
            </w:r>
            <w:r>
              <w:rPr>
                <w:rFonts w:hint="eastAsia" w:ascii="宋体" w:hAnsi="宋体" w:eastAsia="宋体" w:cs="宋体"/>
                <w:color w:val="auto"/>
                <w:sz w:val="24"/>
                <w:szCs w:val="24"/>
              </w:rPr>
              <w:t>酌情打分，0-</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w:t>
            </w:r>
          </w:p>
        </w:tc>
      </w:tr>
      <w:tr w14:paraId="5321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565" w:type="dxa"/>
            <w:tcBorders>
              <w:left w:val="single" w:color="auto" w:sz="4" w:space="0"/>
              <w:right w:val="single" w:color="auto" w:sz="4" w:space="0"/>
            </w:tcBorders>
            <w:noWrap w:val="0"/>
            <w:vAlign w:val="center"/>
          </w:tcPr>
          <w:p w14:paraId="1C40F5B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应急预案</w:t>
            </w:r>
          </w:p>
        </w:tc>
        <w:tc>
          <w:tcPr>
            <w:tcW w:w="975" w:type="dxa"/>
            <w:tcBorders>
              <w:left w:val="single" w:color="auto" w:sz="4" w:space="0"/>
              <w:right w:val="single" w:color="auto" w:sz="4" w:space="0"/>
            </w:tcBorders>
            <w:noWrap w:val="0"/>
            <w:vAlign w:val="center"/>
          </w:tcPr>
          <w:p w14:paraId="2DA3E3B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03A91D05">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w:t>
            </w:r>
            <w:r>
              <w:rPr>
                <w:rFonts w:hint="eastAsia" w:ascii="宋体" w:hAnsi="宋体" w:eastAsia="宋体" w:cs="宋体"/>
                <w:color w:val="auto"/>
                <w:sz w:val="24"/>
                <w:szCs w:val="24"/>
                <w:lang w:eastAsia="zh-CN"/>
              </w:rPr>
              <w:t>基于对本项目的理解，所制定的突发应急预案</w:t>
            </w:r>
            <w:r>
              <w:rPr>
                <w:rFonts w:hint="eastAsia" w:ascii="宋体" w:hAnsi="宋体" w:eastAsia="宋体" w:cs="宋体"/>
                <w:color w:val="auto"/>
                <w:sz w:val="24"/>
                <w:szCs w:val="24"/>
              </w:rPr>
              <w:t>酌情打分，0-</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tc>
      </w:tr>
      <w:tr w14:paraId="2DB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565" w:type="dxa"/>
            <w:tcBorders>
              <w:left w:val="single" w:color="auto" w:sz="4" w:space="0"/>
              <w:right w:val="single" w:color="auto" w:sz="4" w:space="0"/>
            </w:tcBorders>
            <w:noWrap w:val="0"/>
            <w:vAlign w:val="center"/>
          </w:tcPr>
          <w:p w14:paraId="171DE49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培训方案</w:t>
            </w:r>
          </w:p>
        </w:tc>
        <w:tc>
          <w:tcPr>
            <w:tcW w:w="975" w:type="dxa"/>
            <w:tcBorders>
              <w:left w:val="single" w:color="auto" w:sz="4" w:space="0"/>
              <w:right w:val="single" w:color="auto" w:sz="4" w:space="0"/>
            </w:tcBorders>
            <w:noWrap w:val="0"/>
            <w:vAlign w:val="center"/>
          </w:tcPr>
          <w:p w14:paraId="07B3ACE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2179D82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根据投标人针对本项目服务人员的培训方案的专业性和科学性酌情打分，0-</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tc>
      </w:tr>
      <w:tr w14:paraId="53CA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65" w:type="dxa"/>
            <w:tcBorders>
              <w:left w:val="single" w:color="auto" w:sz="4" w:space="0"/>
              <w:right w:val="single" w:color="auto" w:sz="4" w:space="0"/>
            </w:tcBorders>
            <w:noWrap w:val="0"/>
            <w:vAlign w:val="center"/>
          </w:tcPr>
          <w:p w14:paraId="16C7074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eastAsia="zh-CN"/>
              </w:rPr>
              <w:t>质保期</w:t>
            </w:r>
          </w:p>
        </w:tc>
        <w:tc>
          <w:tcPr>
            <w:tcW w:w="975" w:type="dxa"/>
            <w:tcBorders>
              <w:left w:val="single" w:color="auto" w:sz="4" w:space="0"/>
              <w:right w:val="single" w:color="auto" w:sz="4" w:space="0"/>
            </w:tcBorders>
            <w:noWrap w:val="0"/>
            <w:vAlign w:val="center"/>
          </w:tcPr>
          <w:p w14:paraId="16CA07A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7045" w:type="dxa"/>
            <w:tcBorders>
              <w:top w:val="single" w:color="auto" w:sz="4" w:space="0"/>
              <w:left w:val="single" w:color="auto" w:sz="4" w:space="0"/>
              <w:bottom w:val="single" w:color="auto" w:sz="4" w:space="0"/>
              <w:right w:val="single" w:color="auto" w:sz="4" w:space="0"/>
            </w:tcBorders>
            <w:noWrap w:val="0"/>
            <w:vAlign w:val="center"/>
          </w:tcPr>
          <w:p w14:paraId="48781872">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质保期在</w:t>
            </w:r>
            <w:r>
              <w:rPr>
                <w:rFonts w:hint="eastAsia" w:ascii="宋体" w:hAnsi="宋体" w:eastAsia="宋体" w:cs="宋体"/>
                <w:color w:val="auto"/>
                <w:sz w:val="24"/>
                <w:szCs w:val="24"/>
                <w:lang w:val="en-US" w:eastAsia="zh-CN"/>
              </w:rPr>
              <w:t>5年基础上，每增加1年加1分，最高得2分</w:t>
            </w:r>
          </w:p>
        </w:tc>
      </w:tr>
      <w:tr w14:paraId="14CE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65" w:type="dxa"/>
            <w:tcBorders>
              <w:left w:val="single" w:color="auto" w:sz="4" w:space="0"/>
              <w:right w:val="single" w:color="auto" w:sz="4" w:space="0"/>
            </w:tcBorders>
            <w:shd w:val="clear"/>
            <w:noWrap w:val="0"/>
            <w:vAlign w:val="center"/>
          </w:tcPr>
          <w:p w14:paraId="242760E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lang w:val="en-US" w:eastAsia="zh-CN" w:bidi="ar-SA"/>
              </w:rPr>
            </w:pPr>
            <w:r>
              <w:rPr>
                <w:rFonts w:hint="eastAsia" w:ascii="宋体" w:hAnsi="宋体" w:eastAsia="宋体" w:cs="宋体"/>
                <w:b w:val="0"/>
                <w:bCs w:val="0"/>
                <w:color w:val="auto"/>
                <w:sz w:val="24"/>
                <w:szCs w:val="24"/>
              </w:rPr>
              <w:t>合理化建议</w:t>
            </w:r>
          </w:p>
        </w:tc>
        <w:tc>
          <w:tcPr>
            <w:tcW w:w="975" w:type="dxa"/>
            <w:tcBorders>
              <w:left w:val="single" w:color="auto" w:sz="4" w:space="0"/>
              <w:right w:val="single" w:color="auto" w:sz="4" w:space="0"/>
            </w:tcBorders>
            <w:shd w:val="clear"/>
            <w:noWrap w:val="0"/>
            <w:vAlign w:val="center"/>
          </w:tcPr>
          <w:p w14:paraId="117C11B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p>
        </w:tc>
        <w:tc>
          <w:tcPr>
            <w:tcW w:w="7045" w:type="dxa"/>
            <w:tcBorders>
              <w:top w:val="single" w:color="auto" w:sz="4" w:space="0"/>
              <w:left w:val="single" w:color="auto" w:sz="4" w:space="0"/>
              <w:bottom w:val="single" w:color="auto" w:sz="4" w:space="0"/>
              <w:right w:val="single" w:color="auto" w:sz="4" w:space="0"/>
            </w:tcBorders>
            <w:shd w:val="clear"/>
            <w:noWrap w:val="0"/>
            <w:vAlign w:val="center"/>
          </w:tcPr>
          <w:p w14:paraId="14D1FE93">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根据投标人针对本项目实际情况提出的优化本项目服务水平的合理化及建设性的措施、建议进行酌情打分，0-</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tc>
      </w:tr>
    </w:tbl>
    <w:p w14:paraId="66BBBAF3"/>
    <w:p w14:paraId="4B902038">
      <w:pPr>
        <w:pStyle w:val="6"/>
        <w:keepNext w:val="0"/>
        <w:keepLines w:val="0"/>
        <w:pageBreakBefore w:val="0"/>
        <w:widowControl/>
        <w:kinsoku/>
        <w:wordWrap/>
        <w:overflowPunct/>
        <w:topLinePunct w:val="0"/>
        <w:autoSpaceDE/>
        <w:autoSpaceDN/>
        <w:bidi w:val="0"/>
        <w:adjustRightInd/>
        <w:snapToGrid w:val="0"/>
        <w:spacing w:before="0" w:after="0" w:line="360" w:lineRule="auto"/>
        <w:jc w:val="both"/>
        <w:textAlignment w:val="auto"/>
        <w:rPr>
          <w:rFonts w:hint="eastAsia" w:ascii="黑体" w:hAnsi="黑体" w:eastAsia="黑体" w:cs="黑体"/>
          <w:sz w:val="28"/>
          <w:szCs w:val="28"/>
          <w:lang w:val="en-US" w:eastAsia="zh-CN"/>
        </w:rPr>
      </w:pPr>
    </w:p>
    <w:p w14:paraId="7B585304">
      <w:pPr>
        <w:pStyle w:val="6"/>
        <w:keepNext w:val="0"/>
        <w:keepLines w:val="0"/>
        <w:pageBreakBefore w:val="0"/>
        <w:widowControl/>
        <w:kinsoku/>
        <w:wordWrap/>
        <w:overflowPunct/>
        <w:topLinePunct w:val="0"/>
        <w:autoSpaceDE/>
        <w:autoSpaceDN/>
        <w:bidi w:val="0"/>
        <w:adjustRightInd/>
        <w:snapToGrid w:val="0"/>
        <w:spacing w:before="0" w:after="0" w:line="360" w:lineRule="auto"/>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七、报价文件</w:t>
      </w:r>
    </w:p>
    <w:p w14:paraId="2F2F329A">
      <w:pPr>
        <w:spacing w:line="360" w:lineRule="auto"/>
        <w:ind w:firstLine="3935" w:firstLineChars="1400"/>
        <w:rPr>
          <w:rFonts w:ascii="宋体" w:hAnsi="宋体"/>
          <w:b/>
          <w:sz w:val="28"/>
          <w:szCs w:val="28"/>
        </w:rPr>
      </w:pPr>
    </w:p>
    <w:p w14:paraId="53E1F3CF">
      <w:pPr>
        <w:pStyle w:val="6"/>
        <w:keepNext w:val="0"/>
        <w:keepLines w:val="0"/>
        <w:pageBreakBefore w:val="0"/>
        <w:widowControl/>
        <w:kinsoku/>
        <w:wordWrap/>
        <w:overflowPunct/>
        <w:topLinePunct w:val="0"/>
        <w:autoSpaceDE/>
        <w:autoSpaceDN/>
        <w:bidi w:val="0"/>
        <w:adjustRightInd/>
        <w:snapToGrid w:val="0"/>
        <w:spacing w:before="0" w:after="0" w:line="360" w:lineRule="auto"/>
        <w:jc w:val="center"/>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开标一览表</w:t>
      </w:r>
    </w:p>
    <w:p w14:paraId="77522ADE">
      <w:pPr>
        <w:pStyle w:val="12"/>
        <w:spacing w:before="156" w:line="240" w:lineRule="auto"/>
        <w:ind w:left="142" w:leftChars="71" w:firstLine="315" w:firstLineChars="150"/>
        <w:rPr>
          <w:rFonts w:hint="eastAsia" w:ascii="宋体" w:hAnsi="宋体" w:cs="Times New Roman"/>
          <w:sz w:val="21"/>
          <w:szCs w:val="21"/>
        </w:rPr>
      </w:pPr>
      <w:r>
        <w:rPr>
          <w:rFonts w:hint="eastAsia" w:ascii="宋体" w:hAnsi="宋体" w:cs="Times New Roman"/>
          <w:sz w:val="21"/>
          <w:szCs w:val="21"/>
        </w:rPr>
        <w:t>项目名称：</w:t>
      </w:r>
      <w:bookmarkStart w:id="1" w:name="_Hlk128563193"/>
      <w:r>
        <w:rPr>
          <w:rFonts w:hint="default" w:ascii="宋体" w:hAnsi="宋体" w:cs="Times New Roman"/>
          <w:sz w:val="21"/>
          <w:szCs w:val="21"/>
        </w:rPr>
        <w:t>舟山群岛新区检测研究公共服务平台</w:t>
      </w:r>
      <w:r>
        <w:rPr>
          <w:rFonts w:hint="eastAsia" w:ascii="宋体" w:hAnsi="宋体" w:cs="Times New Roman"/>
          <w:sz w:val="21"/>
          <w:szCs w:val="21"/>
          <w:lang w:val="en-US" w:eastAsia="zh-CN"/>
        </w:rPr>
        <w:t>UPS蓄电池采购项目</w:t>
      </w:r>
    </w:p>
    <w:p w14:paraId="11274665">
      <w:pPr>
        <w:pStyle w:val="12"/>
        <w:spacing w:before="156" w:line="240" w:lineRule="auto"/>
        <w:ind w:left="142" w:leftChars="71" w:firstLine="315" w:firstLineChars="150"/>
        <w:rPr>
          <w:rFonts w:hint="eastAsia" w:ascii="宋体" w:hAnsi="宋体"/>
          <w:sz w:val="21"/>
          <w:szCs w:val="21"/>
        </w:rPr>
      </w:pPr>
    </w:p>
    <w:bookmarkEnd w:id="1"/>
    <w:tbl>
      <w:tblPr>
        <w:tblStyle w:val="19"/>
        <w:tblW w:w="9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8"/>
        <w:gridCol w:w="6355"/>
      </w:tblGrid>
      <w:tr w14:paraId="17A8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938" w:type="dxa"/>
            <w:vAlign w:val="center"/>
          </w:tcPr>
          <w:p w14:paraId="1BA34E6E">
            <w:pPr>
              <w:widowControl/>
              <w:adjustRightInd w:val="0"/>
              <w:snapToGrid w:val="0"/>
              <w:spacing w:line="360" w:lineRule="auto"/>
              <w:jc w:val="center"/>
              <w:rPr>
                <w:rFonts w:ascii="宋体"/>
                <w:sz w:val="21"/>
                <w:szCs w:val="21"/>
              </w:rPr>
            </w:pPr>
            <w:r>
              <w:rPr>
                <w:rFonts w:hint="eastAsia" w:ascii="宋体" w:hAnsi="宋体"/>
                <w:sz w:val="21"/>
                <w:szCs w:val="21"/>
              </w:rPr>
              <w:t>项目名称</w:t>
            </w:r>
          </w:p>
        </w:tc>
        <w:tc>
          <w:tcPr>
            <w:tcW w:w="6355" w:type="dxa"/>
            <w:vAlign w:val="center"/>
          </w:tcPr>
          <w:p w14:paraId="5D10920F">
            <w:pPr>
              <w:widowControl/>
              <w:adjustRightInd w:val="0"/>
              <w:snapToGrid w:val="0"/>
              <w:spacing w:line="360" w:lineRule="auto"/>
              <w:jc w:val="center"/>
              <w:rPr>
                <w:rFonts w:ascii="宋体"/>
                <w:sz w:val="21"/>
                <w:szCs w:val="21"/>
              </w:rPr>
            </w:pPr>
            <w:r>
              <w:rPr>
                <w:rFonts w:hint="eastAsia" w:ascii="宋体" w:hAnsi="宋体"/>
                <w:sz w:val="21"/>
                <w:szCs w:val="21"/>
              </w:rPr>
              <w:t>报价（元）</w:t>
            </w:r>
          </w:p>
        </w:tc>
      </w:tr>
      <w:tr w14:paraId="44FA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exact"/>
          <w:jc w:val="center"/>
        </w:trPr>
        <w:tc>
          <w:tcPr>
            <w:tcW w:w="2938" w:type="dxa"/>
            <w:vAlign w:val="center"/>
          </w:tcPr>
          <w:p w14:paraId="0CC39846">
            <w:pPr>
              <w:widowControl/>
              <w:adjustRightInd w:val="0"/>
              <w:snapToGrid w:val="0"/>
              <w:spacing w:line="360" w:lineRule="auto"/>
              <w:jc w:val="center"/>
              <w:rPr>
                <w:rFonts w:ascii="宋体"/>
                <w:sz w:val="21"/>
                <w:szCs w:val="21"/>
              </w:rPr>
            </w:pPr>
            <w:r>
              <w:rPr>
                <w:rFonts w:hint="default" w:ascii="宋体" w:hAnsi="宋体" w:cs="Times New Roman"/>
                <w:sz w:val="21"/>
                <w:szCs w:val="21"/>
              </w:rPr>
              <w:t>舟山群岛新区检测研究公共服务平台</w:t>
            </w:r>
            <w:r>
              <w:rPr>
                <w:rFonts w:hint="eastAsia" w:ascii="宋体" w:hAnsi="宋体" w:cs="Times New Roman"/>
                <w:sz w:val="21"/>
                <w:szCs w:val="21"/>
                <w:lang w:val="en-US" w:eastAsia="zh-CN"/>
              </w:rPr>
              <w:t>UPS蓄电池采购项目</w:t>
            </w:r>
          </w:p>
        </w:tc>
        <w:tc>
          <w:tcPr>
            <w:tcW w:w="6355" w:type="dxa"/>
            <w:vAlign w:val="center"/>
          </w:tcPr>
          <w:p w14:paraId="4779A906">
            <w:pPr>
              <w:widowControl/>
              <w:adjustRightInd w:val="0"/>
              <w:snapToGrid w:val="0"/>
              <w:spacing w:line="360" w:lineRule="auto"/>
              <w:ind w:firstLine="1890" w:firstLineChars="900"/>
              <w:rPr>
                <w:rFonts w:ascii="宋体"/>
                <w:sz w:val="21"/>
                <w:szCs w:val="21"/>
              </w:rPr>
            </w:pPr>
          </w:p>
        </w:tc>
      </w:tr>
      <w:tr w14:paraId="5537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exact"/>
          <w:jc w:val="center"/>
        </w:trPr>
        <w:tc>
          <w:tcPr>
            <w:tcW w:w="2938" w:type="dxa"/>
            <w:vAlign w:val="center"/>
          </w:tcPr>
          <w:p w14:paraId="3D71F9DE">
            <w:pPr>
              <w:widowControl/>
              <w:adjustRightInd w:val="0"/>
              <w:snapToGrid w:val="0"/>
              <w:spacing w:line="360" w:lineRule="auto"/>
              <w:jc w:val="center"/>
              <w:rPr>
                <w:rFonts w:ascii="宋体"/>
                <w:sz w:val="21"/>
                <w:szCs w:val="21"/>
              </w:rPr>
            </w:pPr>
            <w:r>
              <w:rPr>
                <w:rFonts w:hint="eastAsia" w:ascii="宋体" w:hAnsi="宋体"/>
                <w:sz w:val="21"/>
                <w:szCs w:val="21"/>
              </w:rPr>
              <w:t>合计</w:t>
            </w:r>
          </w:p>
        </w:tc>
        <w:tc>
          <w:tcPr>
            <w:tcW w:w="6355" w:type="dxa"/>
            <w:vAlign w:val="center"/>
          </w:tcPr>
          <w:p w14:paraId="232BE9EF">
            <w:pPr>
              <w:widowControl/>
              <w:adjustRightInd w:val="0"/>
              <w:snapToGrid w:val="0"/>
              <w:spacing w:line="360" w:lineRule="auto"/>
              <w:jc w:val="left"/>
              <w:rPr>
                <w:rFonts w:ascii="宋体"/>
                <w:sz w:val="21"/>
                <w:szCs w:val="21"/>
                <w:u w:val="single"/>
              </w:rPr>
            </w:pPr>
            <w:r>
              <w:rPr>
                <w:rFonts w:hint="eastAsia" w:ascii="宋体"/>
                <w:sz w:val="21"/>
                <w:szCs w:val="21"/>
              </w:rPr>
              <w:t>大写</w:t>
            </w:r>
          </w:p>
        </w:tc>
      </w:tr>
    </w:tbl>
    <w:p w14:paraId="14BBA46A">
      <w:pPr>
        <w:spacing w:line="360" w:lineRule="auto"/>
        <w:rPr>
          <w:sz w:val="21"/>
          <w:szCs w:val="21"/>
        </w:rPr>
      </w:pPr>
    </w:p>
    <w:p w14:paraId="6F4182F2">
      <w:pPr>
        <w:tabs>
          <w:tab w:val="left" w:pos="2340"/>
          <w:tab w:val="left" w:pos="2520"/>
          <w:tab w:val="left" w:pos="2700"/>
          <w:tab w:val="left" w:pos="3060"/>
        </w:tabs>
        <w:spacing w:line="360" w:lineRule="auto"/>
        <w:ind w:firstLine="1111" w:firstLineChars="548"/>
        <w:rPr>
          <w:sz w:val="21"/>
          <w:szCs w:val="21"/>
        </w:rPr>
        <w:sectPr>
          <w:pgSz w:w="11906" w:h="16838"/>
          <w:pgMar w:top="1134" w:right="1418" w:bottom="1361" w:left="924" w:header="851" w:footer="851" w:gutter="0"/>
          <w:cols w:space="720" w:num="1"/>
          <w:docGrid w:type="lines" w:linePitch="312" w:charSpace="0"/>
        </w:sectPr>
      </w:pPr>
      <w:bookmarkStart w:id="2" w:name="_Hlk152599990"/>
      <w:r>
        <w:rPr>
          <w:rFonts w:hint="eastAsia" w:ascii="宋体" w:hAnsi="宋体"/>
          <w:b/>
          <w:spacing w:val="-4"/>
          <w:sz w:val="21"/>
          <w:szCs w:val="21"/>
        </w:rPr>
        <w:t xml:space="preserve">投标人名称：（加盖公章）               </w:t>
      </w:r>
      <w:r>
        <w:rPr>
          <w:rFonts w:hint="eastAsia" w:ascii="宋体" w:hAnsi="宋体"/>
          <w:b/>
          <w:spacing w:val="-4"/>
          <w:sz w:val="21"/>
          <w:szCs w:val="21"/>
          <w:lang w:val="en-US" w:eastAsia="zh-CN"/>
        </w:rPr>
        <w:t xml:space="preserve">         </w:t>
      </w:r>
      <w:r>
        <w:rPr>
          <w:rFonts w:hint="eastAsia" w:ascii="宋体" w:hAnsi="宋体"/>
          <w:b/>
          <w:spacing w:val="-4"/>
          <w:sz w:val="21"/>
          <w:szCs w:val="21"/>
        </w:rPr>
        <w:t xml:space="preserve"> </w:t>
      </w:r>
      <w:r>
        <w:rPr>
          <w:rFonts w:hint="eastAsia" w:ascii="宋体" w:hAnsi="宋体"/>
          <w:b/>
          <w:spacing w:val="-4"/>
          <w:sz w:val="21"/>
          <w:szCs w:val="21"/>
          <w:lang w:val="en-US" w:eastAsia="zh-CN"/>
        </w:rPr>
        <w:t xml:space="preserve">       </w:t>
      </w:r>
      <w:r>
        <w:rPr>
          <w:rFonts w:hint="eastAsia"/>
          <w:b/>
          <w:sz w:val="21"/>
          <w:szCs w:val="21"/>
        </w:rPr>
        <w:t>日期：</w:t>
      </w:r>
      <w:bookmarkEnd w:id="2"/>
    </w:p>
    <w:p w14:paraId="235AD2B7">
      <w:pPr>
        <w:pStyle w:val="6"/>
        <w:keepNext w:val="0"/>
        <w:keepLines w:val="0"/>
        <w:pageBreakBefore w:val="0"/>
        <w:widowControl/>
        <w:kinsoku/>
        <w:wordWrap/>
        <w:overflowPunct/>
        <w:topLinePunct w:val="0"/>
        <w:autoSpaceDE/>
        <w:autoSpaceDN/>
        <w:bidi w:val="0"/>
        <w:adjustRightInd/>
        <w:snapToGrid w:val="0"/>
        <w:spacing w:before="0" w:after="0" w:line="360" w:lineRule="auto"/>
        <w:jc w:val="center"/>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投标报价明细表</w:t>
      </w:r>
    </w:p>
    <w:p w14:paraId="4D54B51B">
      <w:pPr>
        <w:snapToGrid w:val="0"/>
        <w:rPr>
          <w:rFonts w:ascii="Calibri" w:hAnsi="宋体"/>
          <w:b/>
          <w:sz w:val="28"/>
          <w:szCs w:val="24"/>
        </w:rPr>
      </w:pPr>
    </w:p>
    <w:p w14:paraId="23D80FBC">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Calibri" w:hAnsi="宋体"/>
          <w:sz w:val="21"/>
          <w:szCs w:val="21"/>
        </w:rPr>
      </w:pPr>
      <w:r>
        <w:rPr>
          <w:rFonts w:hint="eastAsia" w:ascii="Calibri" w:hAnsi="宋体"/>
          <w:sz w:val="21"/>
          <w:szCs w:val="21"/>
        </w:rPr>
        <w:t>项目名称：</w:t>
      </w:r>
      <w:r>
        <w:rPr>
          <w:rFonts w:hint="eastAsia" w:ascii="宋体" w:hAnsi="宋体"/>
          <w:sz w:val="21"/>
          <w:szCs w:val="21"/>
        </w:rPr>
        <w:t>舟山群岛新区检测研究公共服务平台10KV 变电所及下级变电所代运维服务</w:t>
      </w:r>
    </w:p>
    <w:p w14:paraId="63039F4D">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Calibri" w:hAnsi="宋体"/>
          <w:sz w:val="21"/>
          <w:szCs w:val="21"/>
        </w:rPr>
      </w:pPr>
      <w:r>
        <w:rPr>
          <w:rFonts w:hint="eastAsia" w:ascii="Calibri" w:hAnsi="宋体"/>
          <w:sz w:val="21"/>
          <w:szCs w:val="21"/>
        </w:rPr>
        <w:t>金额单位：人民币（元）</w:t>
      </w:r>
    </w:p>
    <w:tbl>
      <w:tblPr>
        <w:tblStyle w:val="19"/>
        <w:tblW w:w="902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1"/>
        <w:gridCol w:w="1984"/>
        <w:gridCol w:w="1134"/>
        <w:gridCol w:w="1418"/>
        <w:gridCol w:w="1276"/>
        <w:gridCol w:w="1134"/>
        <w:gridCol w:w="1224"/>
      </w:tblGrid>
      <w:tr w14:paraId="6BAA92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851" w:type="dxa"/>
            <w:tcBorders>
              <w:top w:val="single" w:color="auto" w:sz="4" w:space="0"/>
              <w:left w:val="single" w:color="auto" w:sz="4" w:space="0"/>
              <w:bottom w:val="single" w:color="auto" w:sz="4" w:space="0"/>
              <w:right w:val="single" w:color="auto" w:sz="4" w:space="0"/>
            </w:tcBorders>
            <w:vAlign w:val="center"/>
          </w:tcPr>
          <w:p w14:paraId="70D34C5A">
            <w:pPr>
              <w:tabs>
                <w:tab w:val="left" w:pos="1418"/>
              </w:tabs>
              <w:snapToGrid w:val="0"/>
              <w:spacing w:before="50" w:after="50"/>
              <w:jc w:val="center"/>
              <w:rPr>
                <w:rFonts w:ascii="宋体" w:hAnsi="宋体"/>
                <w:spacing w:val="20"/>
                <w:sz w:val="21"/>
                <w:szCs w:val="21"/>
              </w:rPr>
            </w:pPr>
            <w:r>
              <w:rPr>
                <w:rFonts w:hint="eastAsia" w:ascii="宋体" w:hAnsi="宋体"/>
                <w:sz w:val="21"/>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1932BEA1">
            <w:pPr>
              <w:tabs>
                <w:tab w:val="left" w:pos="1418"/>
              </w:tabs>
              <w:snapToGrid w:val="0"/>
              <w:spacing w:before="50" w:after="50"/>
              <w:jc w:val="center"/>
              <w:rPr>
                <w:rFonts w:hint="eastAsia" w:ascii="宋体" w:hAnsi="宋体" w:eastAsiaTheme="minorEastAsia"/>
                <w:spacing w:val="20"/>
                <w:sz w:val="21"/>
                <w:szCs w:val="21"/>
                <w:lang w:eastAsia="zh-CN"/>
              </w:rPr>
            </w:pPr>
            <w:r>
              <w:rPr>
                <w:rFonts w:hint="eastAsia" w:ascii="宋体" w:hAnsi="宋体"/>
                <w:sz w:val="21"/>
                <w:szCs w:val="21"/>
                <w:lang w:eastAsia="zh-CN"/>
              </w:rPr>
              <w:t>名称</w:t>
            </w:r>
          </w:p>
        </w:tc>
        <w:tc>
          <w:tcPr>
            <w:tcW w:w="1134" w:type="dxa"/>
            <w:tcBorders>
              <w:top w:val="single" w:color="auto" w:sz="4" w:space="0"/>
              <w:left w:val="single" w:color="auto" w:sz="4" w:space="0"/>
              <w:bottom w:val="single" w:color="auto" w:sz="4" w:space="0"/>
              <w:right w:val="single" w:color="auto" w:sz="4" w:space="0"/>
            </w:tcBorders>
            <w:vAlign w:val="center"/>
          </w:tcPr>
          <w:p w14:paraId="126F0D6A">
            <w:pPr>
              <w:snapToGrid w:val="0"/>
              <w:spacing w:before="50" w:after="50"/>
              <w:jc w:val="center"/>
              <w:rPr>
                <w:rFonts w:hint="eastAsia" w:ascii="宋体" w:hAnsi="宋体" w:eastAsiaTheme="minorEastAsia"/>
                <w:kern w:val="0"/>
                <w:sz w:val="21"/>
                <w:szCs w:val="21"/>
                <w:lang w:eastAsia="zh-CN"/>
              </w:rPr>
            </w:pPr>
            <w:r>
              <w:rPr>
                <w:rFonts w:hint="eastAsia" w:ascii="宋体" w:hAnsi="宋体"/>
                <w:kern w:val="0"/>
                <w:sz w:val="21"/>
                <w:szCs w:val="21"/>
                <w:lang w:eastAsia="zh-CN"/>
              </w:rPr>
              <w:t>服务项目</w:t>
            </w:r>
          </w:p>
        </w:tc>
        <w:tc>
          <w:tcPr>
            <w:tcW w:w="1418" w:type="dxa"/>
            <w:tcBorders>
              <w:top w:val="single" w:color="auto" w:sz="4" w:space="0"/>
              <w:left w:val="single" w:color="auto" w:sz="4" w:space="0"/>
              <w:bottom w:val="single" w:color="auto" w:sz="4" w:space="0"/>
              <w:right w:val="single" w:color="auto" w:sz="4" w:space="0"/>
            </w:tcBorders>
            <w:vAlign w:val="center"/>
          </w:tcPr>
          <w:p w14:paraId="7B447534">
            <w:pPr>
              <w:tabs>
                <w:tab w:val="left" w:pos="1418"/>
              </w:tabs>
              <w:snapToGrid w:val="0"/>
              <w:spacing w:before="50" w:after="50"/>
              <w:jc w:val="center"/>
              <w:rPr>
                <w:rFonts w:hint="eastAsia" w:ascii="宋体" w:hAnsi="宋体" w:eastAsiaTheme="minorEastAsia"/>
                <w:spacing w:val="20"/>
                <w:sz w:val="21"/>
                <w:szCs w:val="21"/>
                <w:lang w:eastAsia="zh-CN"/>
              </w:rPr>
            </w:pPr>
            <w:r>
              <w:rPr>
                <w:rFonts w:hint="eastAsia" w:ascii="宋体" w:hAnsi="宋体"/>
                <w:spacing w:val="20"/>
                <w:sz w:val="21"/>
                <w:szCs w:val="21"/>
                <w:lang w:eastAsia="zh-CN"/>
              </w:rPr>
              <w:t>单位</w:t>
            </w:r>
          </w:p>
        </w:tc>
        <w:tc>
          <w:tcPr>
            <w:tcW w:w="1276" w:type="dxa"/>
            <w:tcBorders>
              <w:top w:val="single" w:color="auto" w:sz="4" w:space="0"/>
              <w:left w:val="single" w:color="auto" w:sz="4" w:space="0"/>
              <w:bottom w:val="single" w:color="auto" w:sz="4" w:space="0"/>
              <w:right w:val="single" w:color="auto" w:sz="4" w:space="0"/>
            </w:tcBorders>
            <w:vAlign w:val="center"/>
          </w:tcPr>
          <w:p w14:paraId="4B1A885A">
            <w:pPr>
              <w:tabs>
                <w:tab w:val="left" w:pos="1418"/>
              </w:tabs>
              <w:snapToGrid w:val="0"/>
              <w:spacing w:before="50" w:after="50"/>
              <w:jc w:val="center"/>
              <w:rPr>
                <w:rFonts w:hint="eastAsia" w:ascii="宋体" w:hAnsi="宋体" w:eastAsiaTheme="minorEastAsia"/>
                <w:spacing w:val="20"/>
                <w:sz w:val="21"/>
                <w:szCs w:val="21"/>
                <w:lang w:eastAsia="zh-CN"/>
              </w:rPr>
            </w:pPr>
            <w:r>
              <w:rPr>
                <w:rFonts w:hint="eastAsia" w:ascii="宋体" w:hAnsi="宋体"/>
                <w:spacing w:val="20"/>
                <w:sz w:val="21"/>
                <w:szCs w:val="21"/>
                <w:lang w:eastAsia="zh-CN"/>
              </w:rPr>
              <w:t>数量</w:t>
            </w:r>
          </w:p>
        </w:tc>
        <w:tc>
          <w:tcPr>
            <w:tcW w:w="1134" w:type="dxa"/>
            <w:tcBorders>
              <w:top w:val="single" w:color="auto" w:sz="4" w:space="0"/>
              <w:left w:val="single" w:color="auto" w:sz="4" w:space="0"/>
              <w:bottom w:val="single" w:color="auto" w:sz="4" w:space="0"/>
              <w:right w:val="single" w:color="auto" w:sz="4" w:space="0"/>
            </w:tcBorders>
            <w:vAlign w:val="center"/>
          </w:tcPr>
          <w:p w14:paraId="7035F035">
            <w:pPr>
              <w:tabs>
                <w:tab w:val="left" w:pos="1418"/>
              </w:tabs>
              <w:snapToGrid w:val="0"/>
              <w:spacing w:before="50" w:after="50"/>
              <w:jc w:val="center"/>
              <w:rPr>
                <w:rFonts w:ascii="宋体" w:hAnsi="宋体"/>
                <w:spacing w:val="20"/>
                <w:sz w:val="21"/>
                <w:szCs w:val="21"/>
              </w:rPr>
            </w:pPr>
            <w:r>
              <w:rPr>
                <w:rFonts w:hint="eastAsia" w:ascii="宋体" w:hAnsi="宋体"/>
                <w:sz w:val="21"/>
                <w:szCs w:val="21"/>
              </w:rPr>
              <w:t>单价</w:t>
            </w:r>
          </w:p>
        </w:tc>
        <w:tc>
          <w:tcPr>
            <w:tcW w:w="1224" w:type="dxa"/>
            <w:tcBorders>
              <w:top w:val="single" w:color="auto" w:sz="4" w:space="0"/>
              <w:left w:val="single" w:color="auto" w:sz="4" w:space="0"/>
              <w:bottom w:val="single" w:color="auto" w:sz="4" w:space="0"/>
              <w:right w:val="single" w:color="auto" w:sz="4" w:space="0"/>
            </w:tcBorders>
            <w:vAlign w:val="center"/>
          </w:tcPr>
          <w:p w14:paraId="1D29DD28">
            <w:pPr>
              <w:tabs>
                <w:tab w:val="left" w:pos="1418"/>
              </w:tabs>
              <w:snapToGrid w:val="0"/>
              <w:spacing w:before="50" w:after="50"/>
              <w:jc w:val="center"/>
              <w:rPr>
                <w:rFonts w:ascii="宋体" w:hAnsi="宋体"/>
                <w:spacing w:val="20"/>
                <w:sz w:val="21"/>
                <w:szCs w:val="21"/>
              </w:rPr>
            </w:pPr>
            <w:r>
              <w:rPr>
                <w:rFonts w:hint="eastAsia" w:ascii="宋体" w:hAnsi="宋体"/>
                <w:sz w:val="21"/>
                <w:szCs w:val="21"/>
              </w:rPr>
              <w:t>合价</w:t>
            </w:r>
          </w:p>
        </w:tc>
      </w:tr>
      <w:tr w14:paraId="42EA3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3F4AD1A5">
            <w:pPr>
              <w:tabs>
                <w:tab w:val="left" w:pos="1418"/>
              </w:tabs>
              <w:snapToGrid w:val="0"/>
              <w:spacing w:before="50" w:after="50"/>
              <w:jc w:val="center"/>
              <w:rPr>
                <w:rFonts w:ascii="宋体" w:hAnsi="宋体"/>
                <w:spacing w:val="20"/>
                <w:sz w:val="21"/>
                <w:szCs w:val="21"/>
              </w:rPr>
            </w:pPr>
          </w:p>
        </w:tc>
        <w:tc>
          <w:tcPr>
            <w:tcW w:w="1984" w:type="dxa"/>
            <w:tcBorders>
              <w:top w:val="single" w:color="auto" w:sz="4" w:space="0"/>
              <w:left w:val="single" w:color="auto" w:sz="4" w:space="0"/>
              <w:bottom w:val="single" w:color="auto" w:sz="4" w:space="0"/>
              <w:right w:val="single" w:color="auto" w:sz="4" w:space="0"/>
            </w:tcBorders>
          </w:tcPr>
          <w:p w14:paraId="1FC4CFBC">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2FDB755F">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34EB6918">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1A1414A7">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55982B51">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5E164A6B">
            <w:pPr>
              <w:tabs>
                <w:tab w:val="left" w:pos="1418"/>
              </w:tabs>
              <w:snapToGrid w:val="0"/>
              <w:spacing w:before="50" w:after="50"/>
              <w:jc w:val="center"/>
              <w:rPr>
                <w:rFonts w:ascii="宋体" w:hAnsi="宋体"/>
                <w:spacing w:val="20"/>
                <w:sz w:val="21"/>
                <w:szCs w:val="21"/>
              </w:rPr>
            </w:pPr>
          </w:p>
        </w:tc>
      </w:tr>
      <w:tr w14:paraId="203610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719FB614">
            <w:pPr>
              <w:tabs>
                <w:tab w:val="left" w:pos="1418"/>
              </w:tabs>
              <w:snapToGrid w:val="0"/>
              <w:spacing w:before="50" w:after="50"/>
              <w:jc w:val="center"/>
              <w:rPr>
                <w:rFonts w:ascii="宋体" w:hAnsi="宋体"/>
                <w:spacing w:val="20"/>
                <w:sz w:val="21"/>
                <w:szCs w:val="21"/>
              </w:rPr>
            </w:pPr>
          </w:p>
        </w:tc>
        <w:tc>
          <w:tcPr>
            <w:tcW w:w="1984" w:type="dxa"/>
            <w:tcBorders>
              <w:top w:val="single" w:color="auto" w:sz="4" w:space="0"/>
              <w:left w:val="single" w:color="auto" w:sz="4" w:space="0"/>
              <w:bottom w:val="single" w:color="auto" w:sz="4" w:space="0"/>
              <w:right w:val="single" w:color="auto" w:sz="4" w:space="0"/>
            </w:tcBorders>
          </w:tcPr>
          <w:p w14:paraId="1FC47118">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1A06CAC7">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17EE9D45">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351BDD29">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7DAA2450">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41BA551A">
            <w:pPr>
              <w:tabs>
                <w:tab w:val="left" w:pos="1418"/>
              </w:tabs>
              <w:snapToGrid w:val="0"/>
              <w:spacing w:before="50" w:after="50"/>
              <w:jc w:val="center"/>
              <w:rPr>
                <w:rFonts w:ascii="宋体" w:hAnsi="宋体"/>
                <w:spacing w:val="20"/>
                <w:sz w:val="21"/>
                <w:szCs w:val="21"/>
              </w:rPr>
            </w:pPr>
          </w:p>
        </w:tc>
      </w:tr>
      <w:tr w14:paraId="45169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38C6F391">
            <w:pPr>
              <w:tabs>
                <w:tab w:val="left" w:pos="1418"/>
              </w:tabs>
              <w:snapToGrid w:val="0"/>
              <w:spacing w:before="50" w:after="50"/>
              <w:jc w:val="center"/>
              <w:rPr>
                <w:rFonts w:ascii="宋体" w:hAnsi="宋体"/>
                <w:spacing w:val="20"/>
                <w:sz w:val="21"/>
                <w:szCs w:val="21"/>
              </w:rPr>
            </w:pPr>
          </w:p>
        </w:tc>
        <w:tc>
          <w:tcPr>
            <w:tcW w:w="1984" w:type="dxa"/>
            <w:tcBorders>
              <w:top w:val="single" w:color="auto" w:sz="4" w:space="0"/>
              <w:left w:val="single" w:color="auto" w:sz="4" w:space="0"/>
              <w:bottom w:val="single" w:color="auto" w:sz="4" w:space="0"/>
              <w:right w:val="single" w:color="auto" w:sz="4" w:space="0"/>
            </w:tcBorders>
          </w:tcPr>
          <w:p w14:paraId="1F617C61">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2409E1BF">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265F5E2E">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42CC319D">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361D3F1E">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75E34FAC">
            <w:pPr>
              <w:tabs>
                <w:tab w:val="left" w:pos="1418"/>
              </w:tabs>
              <w:snapToGrid w:val="0"/>
              <w:spacing w:before="50" w:after="50"/>
              <w:jc w:val="center"/>
              <w:rPr>
                <w:rFonts w:ascii="宋体" w:hAnsi="宋体"/>
                <w:spacing w:val="20"/>
                <w:sz w:val="21"/>
                <w:szCs w:val="21"/>
              </w:rPr>
            </w:pPr>
          </w:p>
        </w:tc>
      </w:tr>
      <w:tr w14:paraId="4DA3BC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756B44BD">
            <w:pPr>
              <w:tabs>
                <w:tab w:val="left" w:pos="1418"/>
              </w:tabs>
              <w:snapToGrid w:val="0"/>
              <w:spacing w:before="50" w:after="50"/>
              <w:jc w:val="center"/>
              <w:rPr>
                <w:rFonts w:ascii="宋体" w:hAnsi="宋体"/>
                <w:spacing w:val="20"/>
                <w:sz w:val="21"/>
                <w:szCs w:val="21"/>
              </w:rPr>
            </w:pPr>
          </w:p>
        </w:tc>
        <w:tc>
          <w:tcPr>
            <w:tcW w:w="1984" w:type="dxa"/>
            <w:tcBorders>
              <w:top w:val="single" w:color="auto" w:sz="4" w:space="0"/>
              <w:left w:val="single" w:color="auto" w:sz="4" w:space="0"/>
              <w:bottom w:val="single" w:color="auto" w:sz="4" w:space="0"/>
              <w:right w:val="single" w:color="auto" w:sz="4" w:space="0"/>
            </w:tcBorders>
          </w:tcPr>
          <w:p w14:paraId="3872E2D7">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4BA16CAF">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42131C48">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310423BE">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0E60E080">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305F1198">
            <w:pPr>
              <w:tabs>
                <w:tab w:val="left" w:pos="1418"/>
              </w:tabs>
              <w:snapToGrid w:val="0"/>
              <w:spacing w:before="50" w:after="50"/>
              <w:jc w:val="center"/>
              <w:rPr>
                <w:rFonts w:ascii="宋体" w:hAnsi="宋体"/>
                <w:spacing w:val="20"/>
                <w:sz w:val="21"/>
                <w:szCs w:val="21"/>
              </w:rPr>
            </w:pPr>
          </w:p>
        </w:tc>
      </w:tr>
      <w:tr w14:paraId="4D6C0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1C79233E">
            <w:pPr>
              <w:tabs>
                <w:tab w:val="left" w:pos="1418"/>
              </w:tabs>
              <w:snapToGrid w:val="0"/>
              <w:spacing w:before="50" w:after="50"/>
              <w:jc w:val="center"/>
              <w:rPr>
                <w:rFonts w:ascii="宋体" w:hAnsi="宋体"/>
                <w:spacing w:val="20"/>
                <w:sz w:val="21"/>
                <w:szCs w:val="21"/>
              </w:rPr>
            </w:pPr>
          </w:p>
        </w:tc>
        <w:tc>
          <w:tcPr>
            <w:tcW w:w="1984" w:type="dxa"/>
            <w:tcBorders>
              <w:top w:val="single" w:color="auto" w:sz="4" w:space="0"/>
              <w:left w:val="single" w:color="auto" w:sz="4" w:space="0"/>
              <w:bottom w:val="single" w:color="auto" w:sz="4" w:space="0"/>
              <w:right w:val="single" w:color="auto" w:sz="4" w:space="0"/>
            </w:tcBorders>
          </w:tcPr>
          <w:p w14:paraId="763F7B6E">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4D58414C">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3CEEB468">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0354B221">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4E37C4F5">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6FF15E4A">
            <w:pPr>
              <w:tabs>
                <w:tab w:val="left" w:pos="1418"/>
              </w:tabs>
              <w:snapToGrid w:val="0"/>
              <w:spacing w:before="50" w:after="50"/>
              <w:jc w:val="center"/>
              <w:rPr>
                <w:rFonts w:ascii="宋体" w:hAnsi="宋体"/>
                <w:spacing w:val="20"/>
                <w:sz w:val="21"/>
                <w:szCs w:val="21"/>
              </w:rPr>
            </w:pPr>
          </w:p>
        </w:tc>
      </w:tr>
      <w:tr w14:paraId="66DCD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19D8D364">
            <w:pPr>
              <w:tabs>
                <w:tab w:val="left" w:pos="1418"/>
              </w:tabs>
              <w:snapToGrid w:val="0"/>
              <w:spacing w:before="50" w:after="50"/>
              <w:jc w:val="center"/>
              <w:rPr>
                <w:rFonts w:ascii="宋体" w:hAnsi="宋体"/>
                <w:spacing w:val="20"/>
                <w:sz w:val="21"/>
                <w:szCs w:val="21"/>
              </w:rPr>
            </w:pPr>
          </w:p>
          <w:p w14:paraId="02F6947E">
            <w:pPr>
              <w:pStyle w:val="2"/>
              <w:rPr>
                <w:sz w:val="21"/>
                <w:szCs w:val="21"/>
              </w:rPr>
            </w:pPr>
          </w:p>
        </w:tc>
        <w:tc>
          <w:tcPr>
            <w:tcW w:w="1984" w:type="dxa"/>
            <w:tcBorders>
              <w:top w:val="single" w:color="auto" w:sz="4" w:space="0"/>
              <w:left w:val="single" w:color="auto" w:sz="4" w:space="0"/>
              <w:bottom w:val="single" w:color="auto" w:sz="4" w:space="0"/>
              <w:right w:val="single" w:color="auto" w:sz="4" w:space="0"/>
            </w:tcBorders>
          </w:tcPr>
          <w:p w14:paraId="1F60AC76">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525964A0">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632D678A">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5FEEAC69">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56A5C6B0">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736EBA4A">
            <w:pPr>
              <w:tabs>
                <w:tab w:val="left" w:pos="1418"/>
              </w:tabs>
              <w:snapToGrid w:val="0"/>
              <w:spacing w:before="50" w:after="50"/>
              <w:jc w:val="center"/>
              <w:rPr>
                <w:rFonts w:ascii="宋体" w:hAnsi="宋体"/>
                <w:spacing w:val="20"/>
                <w:sz w:val="21"/>
                <w:szCs w:val="21"/>
              </w:rPr>
            </w:pPr>
          </w:p>
        </w:tc>
      </w:tr>
      <w:tr w14:paraId="4554EB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51" w:type="dxa"/>
            <w:tcBorders>
              <w:top w:val="single" w:color="auto" w:sz="4" w:space="0"/>
              <w:left w:val="single" w:color="auto" w:sz="4" w:space="0"/>
              <w:bottom w:val="single" w:color="auto" w:sz="4" w:space="0"/>
              <w:right w:val="single" w:color="auto" w:sz="4" w:space="0"/>
            </w:tcBorders>
          </w:tcPr>
          <w:p w14:paraId="511DFA79">
            <w:pPr>
              <w:tabs>
                <w:tab w:val="left" w:pos="1418"/>
              </w:tabs>
              <w:snapToGrid w:val="0"/>
              <w:spacing w:before="50" w:after="50"/>
              <w:jc w:val="center"/>
              <w:rPr>
                <w:rFonts w:ascii="宋体" w:hAnsi="宋体"/>
                <w:spacing w:val="20"/>
                <w:sz w:val="21"/>
                <w:szCs w:val="21"/>
              </w:rPr>
            </w:pPr>
          </w:p>
        </w:tc>
        <w:tc>
          <w:tcPr>
            <w:tcW w:w="1984" w:type="dxa"/>
            <w:tcBorders>
              <w:top w:val="single" w:color="auto" w:sz="4" w:space="0"/>
              <w:left w:val="single" w:color="auto" w:sz="4" w:space="0"/>
              <w:bottom w:val="single" w:color="auto" w:sz="4" w:space="0"/>
              <w:right w:val="single" w:color="auto" w:sz="4" w:space="0"/>
            </w:tcBorders>
          </w:tcPr>
          <w:p w14:paraId="77482F3E">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77634CB8">
            <w:pPr>
              <w:tabs>
                <w:tab w:val="left" w:pos="1418"/>
              </w:tabs>
              <w:snapToGrid w:val="0"/>
              <w:spacing w:before="50" w:after="50"/>
              <w:jc w:val="center"/>
              <w:rPr>
                <w:rFonts w:ascii="宋体" w:hAnsi="宋体"/>
                <w:spacing w:val="20"/>
                <w:sz w:val="21"/>
                <w:szCs w:val="21"/>
              </w:rPr>
            </w:pPr>
          </w:p>
        </w:tc>
        <w:tc>
          <w:tcPr>
            <w:tcW w:w="1418" w:type="dxa"/>
            <w:tcBorders>
              <w:top w:val="single" w:color="auto" w:sz="4" w:space="0"/>
              <w:left w:val="single" w:color="auto" w:sz="4" w:space="0"/>
              <w:bottom w:val="single" w:color="auto" w:sz="4" w:space="0"/>
              <w:right w:val="single" w:color="auto" w:sz="4" w:space="0"/>
            </w:tcBorders>
          </w:tcPr>
          <w:p w14:paraId="55026851">
            <w:pPr>
              <w:tabs>
                <w:tab w:val="left" w:pos="1418"/>
              </w:tabs>
              <w:snapToGrid w:val="0"/>
              <w:spacing w:before="50" w:after="50"/>
              <w:jc w:val="center"/>
              <w:rPr>
                <w:rFonts w:ascii="宋体" w:hAnsi="宋体"/>
                <w:spacing w:val="20"/>
                <w:sz w:val="21"/>
                <w:szCs w:val="21"/>
              </w:rPr>
            </w:pPr>
          </w:p>
        </w:tc>
        <w:tc>
          <w:tcPr>
            <w:tcW w:w="1276" w:type="dxa"/>
            <w:tcBorders>
              <w:top w:val="single" w:color="auto" w:sz="4" w:space="0"/>
              <w:left w:val="single" w:color="auto" w:sz="4" w:space="0"/>
              <w:bottom w:val="single" w:color="auto" w:sz="4" w:space="0"/>
              <w:right w:val="single" w:color="auto" w:sz="4" w:space="0"/>
            </w:tcBorders>
          </w:tcPr>
          <w:p w14:paraId="340A0370">
            <w:pPr>
              <w:tabs>
                <w:tab w:val="left" w:pos="1418"/>
              </w:tabs>
              <w:snapToGrid w:val="0"/>
              <w:spacing w:before="50" w:after="50"/>
              <w:jc w:val="center"/>
              <w:rPr>
                <w:rFonts w:ascii="宋体" w:hAnsi="宋体"/>
                <w:spacing w:val="20"/>
                <w:sz w:val="21"/>
                <w:szCs w:val="21"/>
              </w:rPr>
            </w:pPr>
          </w:p>
        </w:tc>
        <w:tc>
          <w:tcPr>
            <w:tcW w:w="1134" w:type="dxa"/>
            <w:tcBorders>
              <w:top w:val="single" w:color="auto" w:sz="4" w:space="0"/>
              <w:left w:val="single" w:color="auto" w:sz="4" w:space="0"/>
              <w:bottom w:val="single" w:color="auto" w:sz="4" w:space="0"/>
              <w:right w:val="single" w:color="auto" w:sz="4" w:space="0"/>
            </w:tcBorders>
          </w:tcPr>
          <w:p w14:paraId="2AEC3FEB">
            <w:pPr>
              <w:tabs>
                <w:tab w:val="left" w:pos="1418"/>
              </w:tabs>
              <w:snapToGrid w:val="0"/>
              <w:spacing w:before="50" w:after="50"/>
              <w:jc w:val="center"/>
              <w:rPr>
                <w:rFonts w:ascii="宋体" w:hAnsi="宋体"/>
                <w:spacing w:val="20"/>
                <w:sz w:val="21"/>
                <w:szCs w:val="21"/>
              </w:rPr>
            </w:pPr>
          </w:p>
        </w:tc>
        <w:tc>
          <w:tcPr>
            <w:tcW w:w="1224" w:type="dxa"/>
            <w:tcBorders>
              <w:top w:val="single" w:color="auto" w:sz="4" w:space="0"/>
              <w:left w:val="single" w:color="auto" w:sz="4" w:space="0"/>
              <w:bottom w:val="single" w:color="auto" w:sz="4" w:space="0"/>
              <w:right w:val="single" w:color="auto" w:sz="4" w:space="0"/>
            </w:tcBorders>
          </w:tcPr>
          <w:p w14:paraId="6F0DEA1A">
            <w:pPr>
              <w:tabs>
                <w:tab w:val="left" w:pos="1418"/>
              </w:tabs>
              <w:snapToGrid w:val="0"/>
              <w:spacing w:before="50" w:after="50"/>
              <w:jc w:val="center"/>
              <w:rPr>
                <w:rFonts w:ascii="宋体" w:hAnsi="宋体"/>
                <w:spacing w:val="20"/>
                <w:sz w:val="21"/>
                <w:szCs w:val="21"/>
              </w:rPr>
            </w:pPr>
          </w:p>
        </w:tc>
      </w:tr>
      <w:tr w14:paraId="3A9A4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7797" w:type="dxa"/>
            <w:gridSpan w:val="6"/>
            <w:tcBorders>
              <w:top w:val="single" w:color="auto" w:sz="4" w:space="0"/>
              <w:left w:val="single" w:color="auto" w:sz="4" w:space="0"/>
              <w:bottom w:val="single" w:color="auto" w:sz="4" w:space="0"/>
              <w:right w:val="single" w:color="auto" w:sz="4" w:space="0"/>
            </w:tcBorders>
            <w:vAlign w:val="center"/>
          </w:tcPr>
          <w:p w14:paraId="71BEDFD1">
            <w:pPr>
              <w:tabs>
                <w:tab w:val="left" w:pos="1418"/>
              </w:tabs>
              <w:snapToGrid w:val="0"/>
              <w:spacing w:before="50" w:after="50"/>
              <w:jc w:val="center"/>
              <w:rPr>
                <w:rFonts w:ascii="宋体" w:hAnsi="宋体"/>
                <w:spacing w:val="20"/>
                <w:sz w:val="21"/>
                <w:szCs w:val="21"/>
              </w:rPr>
            </w:pPr>
            <w:r>
              <w:rPr>
                <w:rFonts w:hint="eastAsia" w:ascii="宋体" w:hAnsi="宋体"/>
                <w:spacing w:val="20"/>
                <w:sz w:val="21"/>
                <w:szCs w:val="21"/>
              </w:rPr>
              <w:t>合    计  金  额</w:t>
            </w:r>
          </w:p>
        </w:tc>
        <w:tc>
          <w:tcPr>
            <w:tcW w:w="1224" w:type="dxa"/>
            <w:tcBorders>
              <w:top w:val="single" w:color="auto" w:sz="4" w:space="0"/>
              <w:left w:val="single" w:color="auto" w:sz="4" w:space="0"/>
              <w:bottom w:val="single" w:color="auto" w:sz="4" w:space="0"/>
              <w:right w:val="single" w:color="auto" w:sz="4" w:space="0"/>
            </w:tcBorders>
          </w:tcPr>
          <w:p w14:paraId="6BAAD224">
            <w:pPr>
              <w:tabs>
                <w:tab w:val="left" w:pos="1418"/>
              </w:tabs>
              <w:snapToGrid w:val="0"/>
              <w:spacing w:before="50" w:after="50"/>
              <w:jc w:val="center"/>
              <w:rPr>
                <w:rFonts w:ascii="宋体" w:hAnsi="宋体"/>
                <w:spacing w:val="20"/>
                <w:sz w:val="21"/>
                <w:szCs w:val="21"/>
              </w:rPr>
            </w:pPr>
          </w:p>
        </w:tc>
      </w:tr>
    </w:tbl>
    <w:p w14:paraId="4B294158">
      <w:pPr>
        <w:tabs>
          <w:tab w:val="left" w:pos="1418"/>
        </w:tabs>
        <w:snapToGrid w:val="0"/>
        <w:spacing w:before="50" w:after="50"/>
        <w:rPr>
          <w:rFonts w:ascii="宋体" w:hAnsi="宋体"/>
          <w:spacing w:val="20"/>
          <w:sz w:val="21"/>
          <w:szCs w:val="21"/>
        </w:rPr>
      </w:pPr>
      <w:r>
        <w:rPr>
          <w:rFonts w:hint="eastAsia" w:ascii="宋体" w:hAnsi="宋体"/>
          <w:spacing w:val="20"/>
          <w:sz w:val="21"/>
          <w:szCs w:val="21"/>
        </w:rPr>
        <w:t>注：项目费用包括</w:t>
      </w:r>
      <w:r>
        <w:rPr>
          <w:rFonts w:hint="eastAsia" w:ascii="宋体" w:hAnsi="宋体"/>
          <w:spacing w:val="20"/>
          <w:sz w:val="21"/>
          <w:szCs w:val="21"/>
          <w:lang w:eastAsia="zh-CN"/>
        </w:rPr>
        <w:t>采购需求所涉及的</w:t>
      </w:r>
      <w:r>
        <w:rPr>
          <w:rFonts w:hint="eastAsia" w:ascii="宋体" w:hAnsi="宋体"/>
          <w:spacing w:val="20"/>
          <w:sz w:val="21"/>
          <w:szCs w:val="21"/>
        </w:rPr>
        <w:t>所有费用</w:t>
      </w:r>
    </w:p>
    <w:p w14:paraId="15F0B7C7">
      <w:pPr>
        <w:tabs>
          <w:tab w:val="left" w:pos="2340"/>
          <w:tab w:val="left" w:pos="2520"/>
          <w:tab w:val="left" w:pos="2700"/>
          <w:tab w:val="left" w:pos="3060"/>
        </w:tabs>
        <w:spacing w:line="360" w:lineRule="auto"/>
        <w:rPr>
          <w:rFonts w:ascii="宋体" w:hAnsi="宋体"/>
          <w:b/>
          <w:spacing w:val="-4"/>
          <w:sz w:val="21"/>
          <w:szCs w:val="21"/>
        </w:rPr>
      </w:pPr>
    </w:p>
    <w:p w14:paraId="18FF4F81">
      <w:pPr>
        <w:tabs>
          <w:tab w:val="left" w:pos="2340"/>
          <w:tab w:val="left" w:pos="2520"/>
          <w:tab w:val="left" w:pos="2700"/>
          <w:tab w:val="left" w:pos="3060"/>
        </w:tabs>
        <w:spacing w:line="360" w:lineRule="auto"/>
        <w:rPr>
          <w:rFonts w:ascii="宋体" w:hAnsi="宋体"/>
          <w:b/>
          <w:spacing w:val="-4"/>
          <w:sz w:val="21"/>
          <w:szCs w:val="21"/>
        </w:rPr>
      </w:pPr>
    </w:p>
    <w:p w14:paraId="60156DF4">
      <w:pPr>
        <w:tabs>
          <w:tab w:val="left" w:pos="2340"/>
          <w:tab w:val="left" w:pos="2520"/>
          <w:tab w:val="left" w:pos="2700"/>
          <w:tab w:val="left" w:pos="3060"/>
        </w:tabs>
        <w:spacing w:line="360" w:lineRule="auto"/>
        <w:ind w:firstLine="99" w:firstLineChars="49"/>
        <w:rPr>
          <w:rFonts w:ascii="Calibri" w:hAnsi="Calibri"/>
          <w:kern w:val="0"/>
          <w:sz w:val="21"/>
          <w:szCs w:val="21"/>
        </w:rPr>
      </w:pPr>
      <w:r>
        <w:rPr>
          <w:rFonts w:hint="eastAsia" w:ascii="宋体" w:hAnsi="宋体"/>
          <w:b/>
          <w:spacing w:val="-4"/>
          <w:sz w:val="21"/>
          <w:szCs w:val="21"/>
        </w:rPr>
        <w:t xml:space="preserve">投标人名称：（加盖公章）              </w:t>
      </w:r>
      <w:r>
        <w:rPr>
          <w:rFonts w:hint="eastAsia" w:ascii="宋体" w:hAnsi="宋体"/>
          <w:b/>
          <w:spacing w:val="-4"/>
          <w:sz w:val="21"/>
          <w:szCs w:val="21"/>
          <w:lang w:val="en-US" w:eastAsia="zh-CN"/>
        </w:rPr>
        <w:t xml:space="preserve">     </w:t>
      </w:r>
      <w:r>
        <w:rPr>
          <w:rFonts w:hint="eastAsia" w:ascii="宋体" w:hAnsi="宋体"/>
          <w:b/>
          <w:spacing w:val="-4"/>
          <w:sz w:val="21"/>
          <w:szCs w:val="21"/>
        </w:rPr>
        <w:t xml:space="preserve">   </w:t>
      </w:r>
      <w:r>
        <w:rPr>
          <w:rFonts w:hint="eastAsia"/>
          <w:b/>
          <w:sz w:val="21"/>
          <w:szCs w:val="21"/>
        </w:rPr>
        <w:t>日</w:t>
      </w:r>
      <w:r>
        <w:rPr>
          <w:rFonts w:hint="eastAsia"/>
          <w:b/>
          <w:sz w:val="21"/>
          <w:szCs w:val="21"/>
          <w:lang w:val="en-US" w:eastAsia="zh-CN"/>
        </w:rPr>
        <w:t xml:space="preserve">  </w:t>
      </w:r>
      <w:r>
        <w:rPr>
          <w:rFonts w:hint="eastAsia"/>
          <w:b/>
          <w:sz w:val="21"/>
          <w:szCs w:val="21"/>
        </w:rPr>
        <w:t>期：</w:t>
      </w:r>
    </w:p>
    <w:p w14:paraId="79ADA07F">
      <w:pPr>
        <w:pStyle w:val="26"/>
        <w:spacing w:before="0" w:after="0" w:line="360" w:lineRule="auto"/>
        <w:jc w:val="both"/>
        <w:rPr>
          <w:rFonts w:hint="default" w:ascii="Times New Roman" w:hAnsi="Times New Roman" w:cs="Times New Roman" w:eastAsiaTheme="minorEastAsia"/>
          <w:sz w:val="28"/>
          <w:szCs w:val="28"/>
          <w:lang w:val="en-US" w:eastAsia="zh-CN"/>
        </w:rPr>
      </w:pPr>
    </w:p>
    <w:p w14:paraId="6D149C65">
      <w:pPr>
        <w:pStyle w:val="6"/>
        <w:spacing w:before="0" w:after="0" w:line="360" w:lineRule="auto"/>
        <w:jc w:val="both"/>
        <w:rPr>
          <w:rFonts w:hint="default" w:ascii="Times New Roman" w:hAnsi="Times New Roman" w:cs="Times New Roman" w:eastAsiaTheme="minorEastAsia"/>
          <w:b w:val="0"/>
          <w:sz w:val="28"/>
          <w:szCs w:val="28"/>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E004CD-B4C6-41A1-B035-FEE389E93ED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F750B0B-CC26-44A0-9F78-11F962900824}"/>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3" w:fontKey="{B5E0EB33-67B1-4E03-9983-FB873B5497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78F"/>
    <w:rsid w:val="00061AF6"/>
    <w:rsid w:val="000940F3"/>
    <w:rsid w:val="000A002C"/>
    <w:rsid w:val="00232264"/>
    <w:rsid w:val="00486BA6"/>
    <w:rsid w:val="0051199E"/>
    <w:rsid w:val="00520A93"/>
    <w:rsid w:val="0053078F"/>
    <w:rsid w:val="00623464"/>
    <w:rsid w:val="006415FD"/>
    <w:rsid w:val="00703578"/>
    <w:rsid w:val="007C2445"/>
    <w:rsid w:val="0095646C"/>
    <w:rsid w:val="00A25EFE"/>
    <w:rsid w:val="00A35E7C"/>
    <w:rsid w:val="00A726CA"/>
    <w:rsid w:val="00C0087C"/>
    <w:rsid w:val="00C2433B"/>
    <w:rsid w:val="00D02317"/>
    <w:rsid w:val="00FE61A9"/>
    <w:rsid w:val="04596558"/>
    <w:rsid w:val="0B630411"/>
    <w:rsid w:val="1A8A15FB"/>
    <w:rsid w:val="1AE32331"/>
    <w:rsid w:val="1F7054F9"/>
    <w:rsid w:val="25F2782E"/>
    <w:rsid w:val="306D1241"/>
    <w:rsid w:val="31203A55"/>
    <w:rsid w:val="490F1E2D"/>
    <w:rsid w:val="50CF3D88"/>
    <w:rsid w:val="5E347338"/>
    <w:rsid w:val="5F2D56EE"/>
    <w:rsid w:val="74196CE8"/>
    <w:rsid w:val="7D073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lang w:val="en-US" w:eastAsia="zh-CN" w:bidi="ar-SA"/>
    </w:rPr>
  </w:style>
  <w:style w:type="paragraph" w:styleId="4">
    <w:name w:val="heading 1"/>
    <w:qFormat/>
    <w:uiPriority w:val="0"/>
    <w:pPr>
      <w:spacing w:before="380" w:after="140" w:line="288" w:lineRule="auto"/>
      <w:outlineLvl w:val="0"/>
    </w:pPr>
    <w:rPr>
      <w:rFonts w:ascii="Arial" w:hAnsi="Arial" w:eastAsia="等线" w:cs="Arial"/>
      <w:b/>
      <w:bCs/>
      <w:sz w:val="36"/>
      <w:szCs w:val="36"/>
      <w:lang w:val="en-US" w:eastAsia="zh-CN" w:bidi="ar-SA"/>
    </w:rPr>
  </w:style>
  <w:style w:type="paragraph" w:styleId="5">
    <w:name w:val="heading 2"/>
    <w:basedOn w:val="1"/>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6">
    <w:name w:val="heading 3"/>
    <w:link w:val="30"/>
    <w:qFormat/>
    <w:uiPriority w:val="0"/>
    <w:pPr>
      <w:spacing w:before="300" w:after="120" w:line="288" w:lineRule="auto"/>
      <w:outlineLvl w:val="2"/>
    </w:pPr>
    <w:rPr>
      <w:rFonts w:ascii="Arial" w:hAnsi="Arial" w:eastAsia="等线" w:cs="Arial"/>
      <w:b/>
      <w:bCs/>
      <w:sz w:val="30"/>
      <w:szCs w:val="30"/>
      <w:lang w:val="en-US" w:eastAsia="zh-CN" w:bidi="ar-SA"/>
    </w:rPr>
  </w:style>
  <w:style w:type="paragraph" w:styleId="7">
    <w:name w:val="heading 4"/>
    <w:qFormat/>
    <w:uiPriority w:val="0"/>
    <w:pPr>
      <w:spacing w:before="260" w:after="120" w:line="288" w:lineRule="auto"/>
      <w:outlineLvl w:val="3"/>
    </w:pPr>
    <w:rPr>
      <w:rFonts w:ascii="Arial" w:hAnsi="Arial" w:eastAsia="等线" w:cs="Arial"/>
      <w:b/>
      <w:bCs/>
      <w:sz w:val="28"/>
      <w:szCs w:val="28"/>
      <w:lang w:val="en-US" w:eastAsia="zh-CN" w:bidi="ar-SA"/>
    </w:rPr>
  </w:style>
  <w:style w:type="paragraph" w:styleId="8">
    <w:name w:val="heading 5"/>
    <w:qFormat/>
    <w:uiPriority w:val="0"/>
    <w:pPr>
      <w:spacing w:before="240" w:after="120" w:line="288" w:lineRule="auto"/>
      <w:outlineLvl w:val="4"/>
    </w:pPr>
    <w:rPr>
      <w:rFonts w:ascii="Arial" w:hAnsi="Arial" w:eastAsia="等线" w:cs="Arial"/>
      <w:b/>
      <w:bCs/>
      <w:sz w:val="24"/>
      <w:szCs w:val="24"/>
      <w:lang w:val="en-US" w:eastAsia="zh-CN" w:bidi="ar-SA"/>
    </w:rPr>
  </w:style>
  <w:style w:type="paragraph" w:styleId="9">
    <w:name w:val="heading 6"/>
    <w:qFormat/>
    <w:uiPriority w:val="0"/>
    <w:pPr>
      <w:spacing w:before="240" w:after="120" w:line="288" w:lineRule="auto"/>
      <w:outlineLvl w:val="5"/>
    </w:pPr>
    <w:rPr>
      <w:rFonts w:ascii="Arial" w:hAnsi="Arial" w:eastAsia="等线" w:cs="Arial"/>
      <w:b/>
      <w:bCs/>
      <w:sz w:val="24"/>
      <w:szCs w:val="24"/>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semiHidden/>
    <w:unhideWhenUsed/>
    <w:qFormat/>
    <w:uiPriority w:val="99"/>
    <w:pPr>
      <w:ind w:firstLine="420" w:firstLineChars="100"/>
    </w:pPr>
  </w:style>
  <w:style w:type="paragraph" w:styleId="3">
    <w:name w:val="Body Text"/>
    <w:basedOn w:val="1"/>
    <w:next w:val="2"/>
    <w:semiHidden/>
    <w:unhideWhenUsed/>
    <w:qFormat/>
    <w:uiPriority w:val="99"/>
    <w:pPr>
      <w:spacing w:after="120"/>
    </w:pPr>
  </w:style>
  <w:style w:type="paragraph" w:styleId="10">
    <w:name w:val="Body Text Indent"/>
    <w:basedOn w:val="1"/>
    <w:next w:val="11"/>
    <w:qFormat/>
    <w:uiPriority w:val="0"/>
    <w:pPr>
      <w:spacing w:after="120"/>
      <w:ind w:left="420" w:leftChars="200"/>
    </w:pPr>
  </w:style>
  <w:style w:type="paragraph" w:styleId="11">
    <w:name w:val="Body Text First Indent 2"/>
    <w:basedOn w:val="10"/>
    <w:next w:val="1"/>
    <w:qFormat/>
    <w:uiPriority w:val="0"/>
    <w:pPr>
      <w:adjustRightInd/>
      <w:spacing w:after="120" w:line="240" w:lineRule="auto"/>
      <w:ind w:left="420" w:leftChars="200" w:firstLine="210"/>
    </w:pPr>
    <w:rPr>
      <w:sz w:val="21"/>
    </w:rPr>
  </w:style>
  <w:style w:type="paragraph" w:styleId="12">
    <w:name w:val="Plain Text"/>
    <w:basedOn w:val="1"/>
    <w:unhideWhenUsed/>
    <w:qFormat/>
    <w:uiPriority w:val="0"/>
    <w:pPr>
      <w:spacing w:beforeLines="50" w:line="400" w:lineRule="exact"/>
      <w:ind w:left="150" w:right="150"/>
    </w:pPr>
    <w:rPr>
      <w:rFonts w:ascii="宋体" w:hAnsi="Courier New"/>
      <w:kern w:val="0"/>
      <w:sz w:val="24"/>
    </w:rPr>
  </w:style>
  <w:style w:type="paragraph" w:styleId="13">
    <w:name w:val="Body Text Indent 2"/>
    <w:basedOn w:val="1"/>
    <w:qFormat/>
    <w:uiPriority w:val="0"/>
    <w:pPr>
      <w:snapToGrid w:val="0"/>
      <w:spacing w:line="400" w:lineRule="exact"/>
      <w:ind w:firstLine="480"/>
    </w:pPr>
    <w:rPr>
      <w:rFonts w:eastAsia="仿宋_GB2312"/>
      <w:sz w:val="24"/>
    </w:rPr>
  </w:style>
  <w:style w:type="paragraph" w:styleId="14">
    <w:name w:val="footer"/>
    <w:basedOn w:val="1"/>
    <w:link w:val="29"/>
    <w:unhideWhenUsed/>
    <w:qFormat/>
    <w:uiPriority w:val="99"/>
    <w:pPr>
      <w:tabs>
        <w:tab w:val="center" w:pos="4153"/>
        <w:tab w:val="right" w:pos="8306"/>
      </w:tabs>
      <w:snapToGrid w:val="0"/>
      <w:jc w:val="left"/>
    </w:pPr>
    <w:rPr>
      <w:sz w:val="18"/>
      <w:szCs w:val="18"/>
    </w:rPr>
  </w:style>
  <w:style w:type="paragraph" w:styleId="1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qFormat/>
    <w:uiPriority w:val="11"/>
    <w:pPr>
      <w:adjustRightInd w:val="0"/>
      <w:snapToGrid w:val="0"/>
      <w:spacing w:before="240" w:after="480"/>
      <w:jc w:val="center"/>
    </w:pPr>
    <w:rPr>
      <w:rFonts w:ascii="Arial" w:hAnsi="Arial" w:eastAsia="隶书"/>
      <w:b/>
      <w:bCs/>
      <w:kern w:val="28"/>
      <w:sz w:val="44"/>
      <w:szCs w:val="32"/>
    </w:rPr>
  </w:style>
  <w:style w:type="paragraph" w:styleId="17">
    <w:name w:val="footnote text"/>
    <w:link w:val="25"/>
    <w:semiHidden/>
    <w:unhideWhenUsed/>
    <w:qFormat/>
    <w:uiPriority w:val="99"/>
    <w:rPr>
      <w:rFonts w:ascii="Times New Roman" w:hAnsi="Times New Roman" w:cs="Times New Roman" w:eastAsiaTheme="minorEastAsia"/>
      <w:lang w:val="en-US" w:eastAsia="zh-CN" w:bidi="ar-SA"/>
    </w:rPr>
  </w:style>
  <w:style w:type="paragraph" w:styleId="18">
    <w:name w:val="Title"/>
    <w:basedOn w:val="1"/>
    <w:qFormat/>
    <w:uiPriority w:val="0"/>
    <w:pPr>
      <w:spacing w:before="480" w:after="480" w:line="288" w:lineRule="auto"/>
    </w:pPr>
    <w:rPr>
      <w:rFonts w:ascii="Arial" w:hAnsi="Arial" w:eastAsia="等线" w:cs="Arial"/>
      <w:b/>
      <w:bCs/>
      <w:sz w:val="52"/>
      <w:szCs w:val="52"/>
      <w:lang w:val="en-US" w:eastAsia="zh-CN" w:bidi="ar-SA"/>
    </w:rPr>
  </w:style>
  <w:style w:type="character" w:styleId="21">
    <w:name w:val="Hyperlink"/>
    <w:unhideWhenUsed/>
    <w:qFormat/>
    <w:uiPriority w:val="99"/>
    <w:rPr>
      <w:color w:val="0563C1"/>
      <w:u w:val="single"/>
    </w:rPr>
  </w:style>
  <w:style w:type="character" w:styleId="22">
    <w:name w:val="footnote reference"/>
    <w:semiHidden/>
    <w:unhideWhenUsed/>
    <w:qFormat/>
    <w:uiPriority w:val="99"/>
    <w:rPr>
      <w:vertAlign w:val="superscript"/>
    </w:rPr>
  </w:style>
  <w:style w:type="paragraph" w:customStyle="1" w:styleId="23">
    <w:name w:val="要点1"/>
    <w:qFormat/>
    <w:uiPriority w:val="0"/>
    <w:rPr>
      <w:rFonts w:ascii="Times New Roman" w:hAnsi="Times New Roman" w:cs="Times New Roman" w:eastAsiaTheme="minorEastAsia"/>
      <w:b/>
      <w:bCs/>
      <w:lang w:val="en-US" w:eastAsia="zh-CN" w:bidi="ar-SA"/>
    </w:rPr>
  </w:style>
  <w:style w:type="paragraph" w:styleId="24">
    <w:name w:val="List Paragraph"/>
    <w:qFormat/>
    <w:uiPriority w:val="0"/>
    <w:rPr>
      <w:rFonts w:ascii="Times New Roman" w:hAnsi="Times New Roman" w:cs="Times New Roman" w:eastAsiaTheme="minorEastAsia"/>
      <w:lang w:val="en-US" w:eastAsia="zh-CN" w:bidi="ar-SA"/>
    </w:rPr>
  </w:style>
  <w:style w:type="character" w:customStyle="1" w:styleId="25">
    <w:name w:val="脚注文本 Char"/>
    <w:link w:val="17"/>
    <w:semiHidden/>
    <w:unhideWhenUsed/>
    <w:qFormat/>
    <w:uiPriority w:val="99"/>
    <w:rPr>
      <w:sz w:val="20"/>
      <w:szCs w:val="20"/>
    </w:rPr>
  </w:style>
  <w:style w:type="paragraph" w:customStyle="1" w:styleId="26">
    <w:name w:val="2"/>
    <w:qFormat/>
    <w:uiPriority w:val="0"/>
    <w:pPr>
      <w:spacing w:before="120" w:after="120" w:line="288" w:lineRule="auto"/>
    </w:pPr>
    <w:rPr>
      <w:rFonts w:ascii="Arial" w:hAnsi="Arial" w:eastAsia="等线" w:cs="Arial"/>
      <w:sz w:val="22"/>
      <w:szCs w:val="22"/>
      <w:lang w:val="en-US" w:eastAsia="zh-CN" w:bidi="ar-SA"/>
    </w:rPr>
  </w:style>
  <w:style w:type="paragraph" w:customStyle="1" w:styleId="27">
    <w:name w:val="1"/>
    <w:qFormat/>
    <w:uiPriority w:val="0"/>
    <w:pPr>
      <w:spacing w:before="120" w:after="120" w:line="288" w:lineRule="auto"/>
    </w:pPr>
    <w:rPr>
      <w:rFonts w:ascii="Arial" w:hAnsi="Arial" w:eastAsia="等线" w:cs="Arial"/>
      <w:color w:val="8F959E"/>
      <w:sz w:val="22"/>
      <w:szCs w:val="22"/>
      <w:lang w:val="en-US" w:eastAsia="zh-CN" w:bidi="ar-SA"/>
    </w:rPr>
  </w:style>
  <w:style w:type="character" w:customStyle="1" w:styleId="28">
    <w:name w:val="页眉 Char"/>
    <w:basedOn w:val="20"/>
    <w:link w:val="15"/>
    <w:qFormat/>
    <w:uiPriority w:val="99"/>
    <w:rPr>
      <w:sz w:val="18"/>
      <w:szCs w:val="18"/>
    </w:rPr>
  </w:style>
  <w:style w:type="character" w:customStyle="1" w:styleId="29">
    <w:name w:val="页脚 Char"/>
    <w:basedOn w:val="20"/>
    <w:link w:val="14"/>
    <w:qFormat/>
    <w:uiPriority w:val="99"/>
    <w:rPr>
      <w:sz w:val="18"/>
      <w:szCs w:val="18"/>
    </w:rPr>
  </w:style>
  <w:style w:type="character" w:customStyle="1" w:styleId="30">
    <w:name w:val="标题 3 Char"/>
    <w:basedOn w:val="20"/>
    <w:link w:val="6"/>
    <w:qFormat/>
    <w:uiPriority w:val="0"/>
    <w:rPr>
      <w:rFonts w:ascii="Arial" w:hAnsi="Arial" w:eastAsia="等线" w:cs="Arial"/>
      <w:b/>
      <w:bCs/>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c8e2b7a4-b516-4983-83d0-a919a3143b87</errorID>
      <errorWord>:</errorWord>
      <group>L1_Format</group>
      <groupName>格式问题</groupName>
      <ability>L2_HalfPunc_CN</ability>
      <abilityName>全半角问题</abilityName>
      <candidateList>
        <item>：</item>
      </candidateList>
      <explain>文本全半角错误。</explain>
      <paraID>6CE00688</paraID>
      <start>11</start>
      <end>12</end>
      <status>modified</status>
      <modifiedWord>：</modifiedWord>
      <trackRevisions>false</trackRevisions>
    </reviewItem>
    <reviewItem>
      <errorID>f7ecd69c-d522-4ca1-909c-f3c7b67c9a19</errorID>
      <errorWord>:</errorWord>
      <group>L1_Format</group>
      <groupName>格式问题</groupName>
      <ability>L2_HalfPunc_CN</ability>
      <abilityName>全半角问题</abilityName>
      <candidateList>
        <item>：</item>
      </candidateList>
      <explain>文本全半角错误。</explain>
      <paraID>75158D1B</paraID>
      <start>11</start>
      <end>12</end>
      <status>modified</status>
      <modifiedWord>：</modifiedWord>
      <trackRevisions>false</trackRevisions>
    </reviewItem>
    <reviewItem>
      <errorID>25a3fd5b-e783-4e22-90f7-652c39495766</errorID>
      <errorWord>期间</errorWord>
      <group>L1_Word</group>
      <groupName>字词问题</groupName>
      <ability>L2_Typo</ability>
      <abilityName>字词错误</abilityName>
      <candidateList>
        <item>其间</item>
      </candidateList>
      <explain/>
      <paraID> 48C7F6B</paraID>
      <start>13</start>
      <end>15</end>
      <status>modified</status>
      <modifiedWord>其间</modifiedWord>
      <trackRevisions>false</trackRevisions>
    </reviewItem>
    <reviewItem>
      <errorID>fd29e635-090c-4707-adac-3373fdf4e3f5</errorID>
      <errorWord>须为在中华人民共和国</errorWord>
      <group>L1_Word</group>
      <groupName>字词问题</groupName>
      <ability>L2_Typo</ability>
      <abilityName>字词错误</abilityName>
      <candidateList>
        <item>须在中华人民共和国</item>
      </candidateList>
      <explain/>
      <paraID>4738957B</paraID>
      <start>11</start>
      <end>20</end>
      <status>modified</status>
      <modifiedWord>须在中华人民共和国</modifiedWord>
      <trackRevisions>false</trackRevisions>
    </reviewItem>
    <reviewItem>
      <errorID>e79bb8e8-1028-4896-a268-90e1b7a9a5df</errorID>
      <errorWord>:</errorWord>
      <group>L1_Format</group>
      <groupName>格式问题</groupName>
      <ability>L2_HalfPunc_CN</ability>
      <abilityName>全半角问题</abilityName>
      <candidateList>
        <item>：</item>
      </candidateList>
      <explain>文本全半角错误。</explain>
      <paraID>16D609D6</paraID>
      <start>24</start>
      <end>25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0230bf24-27eb-4226-87f6-117cf93bd255}">
  <ds:schemaRefs/>
</ds:datastoreItem>
</file>

<file path=docProps/app.xml><?xml version="1.0" encoding="utf-8"?>
<Properties xmlns="http://schemas.openxmlformats.org/officeDocument/2006/extended-properties" xmlns:vt="http://schemas.openxmlformats.org/officeDocument/2006/docPropsVTypes">
  <Template>Normal</Template>
  <Pages>5</Pages>
  <Words>2305</Words>
  <Characters>2427</Characters>
  <Lines>353</Lines>
  <Paragraphs>387</Paragraphs>
  <TotalTime>11</TotalTime>
  <ScaleCrop>false</ScaleCrop>
  <LinksUpToDate>false</LinksUpToDate>
  <CharactersWithSpaces>2527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2025-12-16T08:36:00Z</dcterms:created>
  <dc:creator>Un-named</dc:creator>
  <cp:lastModifiedBy>陈翔</cp:lastModifiedBy>
  <dcterms:modified xsi:type="dcterms:W3CDTF">2026-09-17T09:17:45Z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eyJoZGlkIjoiNjgyMjg1NWMyNTZjZTc0NzU5MWQyMTlhYTlhOWQwYzkiLCJ1c2VySWQiOiIxNjQ2NTYyNDIwIn0=</vt:lpwstr>
  </property>
  <property fmtid="{D5CDD505-2E9C-101B-9397-08002B2CF9AE}" pid="3" name="KSOProductBuildVer">
    <vt:lpwstr>2052-12.1.0.26895</vt:lpwstr>
  </property>
  <property fmtid="{D5CDD505-2E9C-101B-9397-08002B2CF9AE}" pid="4" name="ICV">
    <vt:lpwstr>79DFE0C638AE406EBD3E517E14AE65BD_13</vt:lpwstr>
  </property>
</Properties>
</file>